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40"/>
        <w:jc w:val="center"/>
      </w:pPr>
      <w:r>
        <w:rPr>
          <w:rFonts w:ascii="Times New Roman" w:hAnsi="Times New Roman"/>
          <w:b/>
          <w:sz w:val="26"/>
        </w:rPr>
        <w:t>CÔNG TY TNHH SX-TM HÓA KEO BÌNH THẠNH</w:t>
      </w:r>
    </w:p>
    <w:p>
      <w:pPr>
        <w:spacing w:after="80" w:before="40"/>
        <w:jc w:val="center"/>
      </w:pPr>
      <w:r>
        <w:rPr>
          <w:rFonts w:ascii="Times New Roman" w:hAnsi="Times New Roman"/>
          <w:b/>
          <w:sz w:val="24"/>
        </w:rPr>
        <w:t>PHÒNG QC &amp; KỸ THUẬT</w:t>
      </w:r>
    </w:p>
    <w:p>
      <w:pPr>
        <w:spacing w:after="80" w:before="40"/>
        <w:jc w:val="center"/>
      </w:pPr>
      <w:r>
        <w:rPr>
          <w:rFonts w:ascii="Times New Roman" w:hAnsi="Times New Roman"/>
          <w:b/>
          <w:sz w:val="28"/>
        </w:rPr>
        <w:t>BÁO CÁO TỔNG HỢP SỰ KIỆN QC/KỸ THUẬT</w:t>
      </w:r>
    </w:p>
    <w:p>
      <w:pPr>
        <w:spacing w:after="40" w:before="40"/>
        <w:jc w:val="center"/>
      </w:pPr>
      <w:r>
        <w:rPr>
          <w:rFonts w:ascii="Times New Roman" w:hAnsi="Times New Roman"/>
          <w:b w:val="0"/>
          <w:sz w:val="24"/>
        </w:rPr>
        <w:t>Giai đoạn: 03/08/2026 → 09/08/2026</w:t>
      </w:r>
    </w:p>
    <w:p>
      <w:pPr>
        <w:spacing w:after="40" w:before="40"/>
        <w:jc w:val="center"/>
      </w:pPr>
      <w:r>
        <w:rPr>
          <w:rFonts w:ascii="Times New Roman" w:hAnsi="Times New Roman"/>
          <w:b w:val="0"/>
          <w:sz w:val="24"/>
        </w:rPr>
        <w:t>Ngày lập báo cáo: 10/08/2026</w:t>
      </w:r>
    </w:p>
    <w:p>
      <w:pPr>
        <w:spacing w:after="160" w:before="40"/>
        <w:jc w:val="center"/>
      </w:pPr>
      <w:r>
        <w:rPr>
          <w:rFonts w:ascii="Times New Roman" w:hAnsi="Times New Roman"/>
          <w:b w:val="0"/>
          <w:sz w:val="22"/>
        </w:rPr>
        <w:t>Nguồn dữ liệu: Locqc.md, Tri qc.md (thư mục QC)</w:t>
      </w:r>
    </w:p>
    <w:p>
      <w:pPr>
        <w:spacing w:after="80" w:before="40"/>
      </w:pPr>
      <w:r>
        <w:rPr>
          <w:rFonts w:ascii="Times New Roman" w:hAnsi="Times New Roman"/>
          <w:b/>
          <w:sz w:val="26"/>
        </w:rPr>
        <w:t>I. BÙI THIÊN LỘC (QC)</w:t>
      </w:r>
    </w:p>
    <w:p>
      <w:pPr>
        <w:spacing w:after="60" w:before="40"/>
      </w:pPr>
      <w:r>
        <w:rPr>
          <w:rFonts w:ascii="Times New Roman" w:hAnsi="Times New Roman"/>
          <w:b/>
          <w:sz w:val="24"/>
        </w:rPr>
        <w:t>1.1. Ngày 05/08/2026 — Công ty Kim Huy: Khắc phục sự cố độ bám dính Stain màu 2 KH Cherry</w:t>
      </w:r>
    </w:p>
    <w:p>
      <w:pPr>
        <w:pStyle w:val="ListBullet"/>
        <w:spacing w:after="60"/>
      </w:pPr>
      <w:r>
        <w:rPr>
          <w:rFonts w:ascii="Times New Roman" w:hAnsi="Times New Roman"/>
          <w:sz w:val="24"/>
        </w:rPr>
        <w:t>Báo cáo kỹ thuật — người báo cáo: Bùi Thiên Lộc; duyệt/xác nhận: Nguyễn Đức Thắng (Phòng Kỹ thuật BT Chem).</w:t>
      </w:r>
    </w:p>
    <w:p>
      <w:pPr>
        <w:pStyle w:val="ListBullet"/>
        <w:spacing w:after="60"/>
      </w:pPr>
      <w:r>
        <w:rPr>
          <w:rFonts w:ascii="Times New Roman" w:hAnsi="Times New Roman"/>
          <w:sz w:val="24"/>
        </w:rPr>
        <w:t>Mục tiêu: so sánh 03 mẫu Stain màu 2 KH Cherry của QC (chị Yến giữ công thức) với lô Stain màu 2 mới giao (mã số 270726, giao ngày 03/08/2026); áp dụng thử nghiệm trên sản phẩm đuôi giường theo đúng quy trình sản xuất hiện hành tại Kim Huy.</w:t>
      </w:r>
    </w:p>
    <w:p>
      <w:pPr>
        <w:pStyle w:val="ListBullet"/>
        <w:spacing w:after="60"/>
      </w:pPr>
      <w:r>
        <w:rPr>
          <w:rFonts w:ascii="Times New Roman" w:hAnsi="Times New Roman"/>
          <w:sz w:val="24"/>
        </w:rPr>
        <w:t>Tình hình sản xuất trên chuyền thực tế: màu KH 3900 — sản phẩm tủ đã hoàn thiện; màu KH Cherry — sản phẩm khung gương đang ở công đoạn lót lần 2.</w:t>
      </w:r>
    </w:p>
    <w:p>
      <w:pPr>
        <w:spacing w:after="60" w:before="40"/>
      </w:pPr>
      <w:r>
        <w:rPr>
          <w:rFonts w:ascii="Times New Roman" w:hAnsi="Times New Roman"/>
          <w:b/>
          <w:sz w:val="24"/>
        </w:rPr>
        <w:t>Công thức 03 mẫu Stain màu 2 KH Cherry (quy trên 1.000 g):</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tcPr>
          <w:p>
            <w:r/>
            <w:r>
              <w:rPr>
                <w:rFonts w:ascii="Times New Roman" w:hAnsi="Times New Roman"/>
                <w:b/>
                <w:sz w:val="20"/>
              </w:rPr>
              <w:t>STT</w:t>
            </w:r>
          </w:p>
        </w:tc>
        <w:tc>
          <w:tcPr>
            <w:tcW w:type="dxa" w:w="1994"/>
          </w:tcPr>
          <w:p>
            <w:r/>
            <w:r>
              <w:rPr>
                <w:rFonts w:ascii="Times New Roman" w:hAnsi="Times New Roman"/>
                <w:b/>
                <w:sz w:val="20"/>
              </w:rPr>
              <w:t>Nguyên liệu / Thành phần</w:t>
            </w:r>
          </w:p>
        </w:tc>
        <w:tc>
          <w:tcPr>
            <w:tcW w:type="dxa" w:w="1994"/>
          </w:tcPr>
          <w:p>
            <w:r/>
            <w:r>
              <w:rPr>
                <w:rFonts w:ascii="Times New Roman" w:hAnsi="Times New Roman"/>
                <w:b/>
                <w:sz w:val="20"/>
              </w:rPr>
              <w:t>Mẫu 1 (Công thức cũ)</w:t>
            </w:r>
          </w:p>
        </w:tc>
        <w:tc>
          <w:tcPr>
            <w:tcW w:type="dxa" w:w="1994"/>
          </w:tcPr>
          <w:p>
            <w:r/>
            <w:r>
              <w:rPr>
                <w:rFonts w:ascii="Times New Roman" w:hAnsi="Times New Roman"/>
                <w:b/>
                <w:sz w:val="20"/>
              </w:rPr>
              <w:t>Mẫu 2 (Đang áp dụng SX)</w:t>
            </w:r>
          </w:p>
        </w:tc>
        <w:tc>
          <w:tcPr>
            <w:tcW w:type="dxa" w:w="1994"/>
          </w:tcPr>
          <w:p>
            <w:r/>
            <w:r>
              <w:rPr>
                <w:rFonts w:ascii="Times New Roman" w:hAnsi="Times New Roman"/>
                <w:b/>
                <w:sz w:val="20"/>
              </w:rPr>
              <w:t>Mẫu 3 (Điều chỉnh binder/lót)</w:t>
            </w:r>
          </w:p>
        </w:tc>
      </w:tr>
      <w:tr>
        <w:tc>
          <w:tcPr>
            <w:tcW w:type="dxa" w:w="1994"/>
          </w:tcPr>
          <w:p>
            <w:r/>
            <w:r>
              <w:rPr>
                <w:rFonts w:ascii="Times New Roman" w:hAnsi="Times New Roman"/>
                <w:sz w:val="20"/>
              </w:rPr>
              <w:t>1</w:t>
            </w:r>
          </w:p>
        </w:tc>
        <w:tc>
          <w:tcPr>
            <w:tcW w:type="dxa" w:w="1994"/>
          </w:tcPr>
          <w:p>
            <w:r/>
            <w:r>
              <w:rPr>
                <w:rFonts w:ascii="Times New Roman" w:hAnsi="Times New Roman"/>
                <w:sz w:val="20"/>
              </w:rPr>
              <w:t>Lót NC AT2</w:t>
            </w:r>
          </w:p>
        </w:tc>
        <w:tc>
          <w:tcPr>
            <w:tcW w:type="dxa" w:w="1994"/>
          </w:tcPr>
          <w:p>
            <w:r/>
            <w:r>
              <w:rPr>
                <w:rFonts w:ascii="Times New Roman" w:hAnsi="Times New Roman"/>
                <w:sz w:val="20"/>
              </w:rPr>
              <w:t>600</w:t>
            </w:r>
          </w:p>
        </w:tc>
        <w:tc>
          <w:tcPr>
            <w:tcW w:type="dxa" w:w="1994"/>
          </w:tcPr>
          <w:p>
            <w:r/>
            <w:r>
              <w:rPr>
                <w:rFonts w:ascii="Times New Roman" w:hAnsi="Times New Roman"/>
                <w:sz w:val="20"/>
              </w:rPr>
              <w:t>— (Bỏ)</w:t>
            </w:r>
          </w:p>
        </w:tc>
        <w:tc>
          <w:tcPr>
            <w:tcW w:type="dxa" w:w="1994"/>
          </w:tcPr>
          <w:p>
            <w:r/>
            <w:r>
              <w:rPr>
                <w:rFonts w:ascii="Times New Roman" w:hAnsi="Times New Roman"/>
                <w:sz w:val="20"/>
              </w:rPr>
              <w:t>— (Thay bằng B.NC 2605 KH)</w:t>
            </w:r>
          </w:p>
        </w:tc>
      </w:tr>
      <w:tr>
        <w:tc>
          <w:tcPr>
            <w:tcW w:type="dxa" w:w="1994"/>
          </w:tcPr>
          <w:p>
            <w:r/>
            <w:r>
              <w:rPr>
                <w:rFonts w:ascii="Times New Roman" w:hAnsi="Times New Roman"/>
                <w:sz w:val="20"/>
              </w:rPr>
            </w:r>
          </w:p>
        </w:tc>
        <w:tc>
          <w:tcPr>
            <w:tcW w:type="dxa" w:w="1994"/>
          </w:tcPr>
          <w:p>
            <w:r/>
            <w:r>
              <w:rPr>
                <w:rFonts w:ascii="Times New Roman" w:hAnsi="Times New Roman"/>
                <w:sz w:val="20"/>
              </w:rPr>
              <w:t>Bóng NC 2605</w:t>
            </w:r>
          </w:p>
        </w:tc>
        <w:tc>
          <w:tcPr>
            <w:tcW w:type="dxa" w:w="1994"/>
          </w:tcPr>
          <w:p>
            <w:r/>
            <w:r>
              <w:rPr>
                <w:rFonts w:ascii="Times New Roman" w:hAnsi="Times New Roman"/>
                <w:sz w:val="20"/>
              </w:rPr>
              <w:t>—</w:t>
            </w:r>
          </w:p>
        </w:tc>
        <w:tc>
          <w:tcPr>
            <w:tcW w:type="dxa" w:w="1994"/>
          </w:tcPr>
          <w:p>
            <w:r/>
            <w:r>
              <w:rPr>
                <w:rFonts w:ascii="Times New Roman" w:hAnsi="Times New Roman"/>
                <w:sz w:val="20"/>
              </w:rPr>
              <w:t>—</w:t>
            </w:r>
          </w:p>
        </w:tc>
        <w:tc>
          <w:tcPr>
            <w:tcW w:type="dxa" w:w="1994"/>
          </w:tcPr>
          <w:p>
            <w:r/>
            <w:r>
              <w:rPr>
                <w:rFonts w:ascii="Times New Roman" w:hAnsi="Times New Roman"/>
                <w:sz w:val="20"/>
              </w:rPr>
              <w:t>600</w:t>
            </w:r>
          </w:p>
        </w:tc>
      </w:tr>
      <w:tr>
        <w:tc>
          <w:tcPr>
            <w:tcW w:type="dxa" w:w="1994"/>
          </w:tcPr>
          <w:p>
            <w:r/>
            <w:r>
              <w:rPr>
                <w:rFonts w:ascii="Times New Roman" w:hAnsi="Times New Roman"/>
                <w:sz w:val="20"/>
              </w:rPr>
              <w:t>2</w:t>
            </w:r>
          </w:p>
        </w:tc>
        <w:tc>
          <w:tcPr>
            <w:tcW w:type="dxa" w:w="1994"/>
          </w:tcPr>
          <w:p>
            <w:r/>
            <w:r>
              <w:rPr>
                <w:rFonts w:ascii="Times New Roman" w:hAnsi="Times New Roman"/>
                <w:sz w:val="20"/>
              </w:rPr>
              <w:t>Vàng 412</w:t>
            </w:r>
          </w:p>
        </w:tc>
        <w:tc>
          <w:tcPr>
            <w:tcW w:type="dxa" w:w="1994"/>
          </w:tcPr>
          <w:p>
            <w:r/>
            <w:r>
              <w:rPr>
                <w:rFonts w:ascii="Times New Roman" w:hAnsi="Times New Roman"/>
                <w:sz w:val="20"/>
              </w:rPr>
              <w:t>126</w:t>
            </w:r>
          </w:p>
        </w:tc>
        <w:tc>
          <w:tcPr>
            <w:tcW w:type="dxa" w:w="1994"/>
          </w:tcPr>
          <w:p>
            <w:r/>
            <w:r>
              <w:rPr>
                <w:rFonts w:ascii="Times New Roman" w:hAnsi="Times New Roman"/>
                <w:sz w:val="20"/>
              </w:rPr>
              <w:t>50</w:t>
            </w:r>
          </w:p>
        </w:tc>
        <w:tc>
          <w:tcPr>
            <w:tcW w:type="dxa" w:w="1994"/>
          </w:tcPr>
          <w:p>
            <w:r/>
            <w:r>
              <w:rPr>
                <w:rFonts w:ascii="Times New Roman" w:hAnsi="Times New Roman"/>
                <w:sz w:val="20"/>
              </w:rPr>
              <w:t>126</w:t>
            </w:r>
          </w:p>
        </w:tc>
      </w:tr>
      <w:tr>
        <w:tc>
          <w:tcPr>
            <w:tcW w:type="dxa" w:w="1994"/>
          </w:tcPr>
          <w:p>
            <w:r/>
            <w:r>
              <w:rPr>
                <w:rFonts w:ascii="Times New Roman" w:hAnsi="Times New Roman"/>
                <w:sz w:val="20"/>
              </w:rPr>
              <w:t>3</w:t>
            </w:r>
          </w:p>
        </w:tc>
        <w:tc>
          <w:tcPr>
            <w:tcW w:type="dxa" w:w="1994"/>
          </w:tcPr>
          <w:p>
            <w:r/>
            <w:r>
              <w:rPr>
                <w:rFonts w:ascii="Times New Roman" w:hAnsi="Times New Roman"/>
                <w:sz w:val="20"/>
              </w:rPr>
              <w:t>Đỏ VM314</w:t>
            </w:r>
          </w:p>
        </w:tc>
        <w:tc>
          <w:tcPr>
            <w:tcW w:type="dxa" w:w="1994"/>
          </w:tcPr>
          <w:p>
            <w:r/>
            <w:r>
              <w:rPr>
                <w:rFonts w:ascii="Times New Roman" w:hAnsi="Times New Roman"/>
                <w:sz w:val="20"/>
              </w:rPr>
              <w:t>35</w:t>
            </w:r>
          </w:p>
        </w:tc>
        <w:tc>
          <w:tcPr>
            <w:tcW w:type="dxa" w:w="1994"/>
          </w:tcPr>
          <w:p>
            <w:r/>
            <w:r>
              <w:rPr>
                <w:rFonts w:ascii="Times New Roman" w:hAnsi="Times New Roman"/>
                <w:sz w:val="20"/>
              </w:rPr>
              <w:t>23</w:t>
            </w:r>
          </w:p>
        </w:tc>
        <w:tc>
          <w:tcPr>
            <w:tcW w:type="dxa" w:w="1994"/>
          </w:tcPr>
          <w:p>
            <w:r/>
            <w:r>
              <w:rPr>
                <w:rFonts w:ascii="Times New Roman" w:hAnsi="Times New Roman"/>
                <w:sz w:val="20"/>
              </w:rPr>
              <w:t>35</w:t>
            </w:r>
          </w:p>
        </w:tc>
      </w:tr>
      <w:tr>
        <w:tc>
          <w:tcPr>
            <w:tcW w:type="dxa" w:w="1994"/>
          </w:tcPr>
          <w:p>
            <w:r/>
            <w:r>
              <w:rPr>
                <w:rFonts w:ascii="Times New Roman" w:hAnsi="Times New Roman"/>
                <w:sz w:val="20"/>
              </w:rPr>
              <w:t>4</w:t>
            </w:r>
          </w:p>
        </w:tc>
        <w:tc>
          <w:tcPr>
            <w:tcW w:type="dxa" w:w="1994"/>
          </w:tcPr>
          <w:p>
            <w:r/>
            <w:r>
              <w:rPr>
                <w:rFonts w:ascii="Times New Roman" w:hAnsi="Times New Roman"/>
                <w:sz w:val="20"/>
              </w:rPr>
              <w:t>Đen TC13</w:t>
            </w:r>
          </w:p>
        </w:tc>
        <w:tc>
          <w:tcPr>
            <w:tcW w:type="dxa" w:w="1994"/>
          </w:tcPr>
          <w:p>
            <w:r/>
            <w:r>
              <w:rPr>
                <w:rFonts w:ascii="Times New Roman" w:hAnsi="Times New Roman"/>
                <w:sz w:val="20"/>
              </w:rPr>
              <w:t>6,6</w:t>
            </w:r>
          </w:p>
        </w:tc>
        <w:tc>
          <w:tcPr>
            <w:tcW w:type="dxa" w:w="1994"/>
          </w:tcPr>
          <w:p>
            <w:r/>
            <w:r>
              <w:rPr>
                <w:rFonts w:ascii="Times New Roman" w:hAnsi="Times New Roman"/>
                <w:sz w:val="20"/>
              </w:rPr>
              <w:t>10</w:t>
            </w:r>
          </w:p>
        </w:tc>
        <w:tc>
          <w:tcPr>
            <w:tcW w:type="dxa" w:w="1994"/>
          </w:tcPr>
          <w:p>
            <w:r/>
            <w:r>
              <w:rPr>
                <w:rFonts w:ascii="Times New Roman" w:hAnsi="Times New Roman"/>
                <w:sz w:val="20"/>
              </w:rPr>
              <w:t>6,6</w:t>
            </w:r>
          </w:p>
        </w:tc>
      </w:tr>
      <w:tr>
        <w:tc>
          <w:tcPr>
            <w:tcW w:type="dxa" w:w="1994"/>
          </w:tcPr>
          <w:p>
            <w:r/>
            <w:r>
              <w:rPr>
                <w:rFonts w:ascii="Times New Roman" w:hAnsi="Times New Roman"/>
                <w:sz w:val="20"/>
              </w:rPr>
              <w:t>5</w:t>
            </w:r>
          </w:p>
        </w:tc>
        <w:tc>
          <w:tcPr>
            <w:tcW w:type="dxa" w:w="1994"/>
          </w:tcPr>
          <w:p>
            <w:r/>
            <w:r>
              <w:rPr>
                <w:rFonts w:ascii="Times New Roman" w:hAnsi="Times New Roman"/>
                <w:sz w:val="20"/>
              </w:rPr>
              <w:t>Xanh GT</w:t>
            </w:r>
          </w:p>
        </w:tc>
        <w:tc>
          <w:tcPr>
            <w:tcW w:type="dxa" w:w="1994"/>
          </w:tcPr>
          <w:p>
            <w:r/>
            <w:r>
              <w:rPr>
                <w:rFonts w:ascii="Times New Roman" w:hAnsi="Times New Roman"/>
                <w:sz w:val="20"/>
              </w:rPr>
              <w:t>8</w:t>
            </w:r>
          </w:p>
        </w:tc>
        <w:tc>
          <w:tcPr>
            <w:tcW w:type="dxa" w:w="1994"/>
          </w:tcPr>
          <w:p>
            <w:r/>
            <w:r>
              <w:rPr>
                <w:rFonts w:ascii="Times New Roman" w:hAnsi="Times New Roman"/>
                <w:sz w:val="20"/>
              </w:rPr>
              <w:t>5</w:t>
            </w:r>
          </w:p>
        </w:tc>
        <w:tc>
          <w:tcPr>
            <w:tcW w:type="dxa" w:w="1994"/>
          </w:tcPr>
          <w:p>
            <w:r/>
            <w:r>
              <w:rPr>
                <w:rFonts w:ascii="Times New Roman" w:hAnsi="Times New Roman"/>
                <w:sz w:val="20"/>
              </w:rPr>
              <w:t>8</w:t>
            </w:r>
          </w:p>
        </w:tc>
      </w:tr>
      <w:tr>
        <w:tc>
          <w:tcPr>
            <w:tcW w:type="dxa" w:w="1994"/>
          </w:tcPr>
          <w:p>
            <w:r/>
            <w:r>
              <w:rPr>
                <w:rFonts w:ascii="Times New Roman" w:hAnsi="Times New Roman"/>
                <w:sz w:val="20"/>
              </w:rPr>
              <w:t>6</w:t>
            </w:r>
          </w:p>
        </w:tc>
        <w:tc>
          <w:tcPr>
            <w:tcW w:type="dxa" w:w="1994"/>
          </w:tcPr>
          <w:p>
            <w:r/>
            <w:r>
              <w:rPr>
                <w:rFonts w:ascii="Times New Roman" w:hAnsi="Times New Roman"/>
                <w:sz w:val="20"/>
              </w:rPr>
              <w:t>AK 60 (Nhựa)</w:t>
            </w:r>
          </w:p>
        </w:tc>
        <w:tc>
          <w:tcPr>
            <w:tcW w:type="dxa" w:w="1994"/>
          </w:tcPr>
          <w:p>
            <w:r/>
            <w:r>
              <w:rPr>
                <w:rFonts w:ascii="Times New Roman" w:hAnsi="Times New Roman"/>
                <w:sz w:val="20"/>
              </w:rPr>
              <w:t>200</w:t>
            </w:r>
          </w:p>
        </w:tc>
        <w:tc>
          <w:tcPr>
            <w:tcW w:type="dxa" w:w="1994"/>
          </w:tcPr>
          <w:p>
            <w:r/>
            <w:r>
              <w:rPr>
                <w:rFonts w:ascii="Times New Roman" w:hAnsi="Times New Roman"/>
                <w:sz w:val="20"/>
              </w:rPr>
              <w:t>— (Bỏ)</w:t>
            </w:r>
          </w:p>
        </w:tc>
        <w:tc>
          <w:tcPr>
            <w:tcW w:type="dxa" w:w="1994"/>
          </w:tcPr>
          <w:p>
            <w:r/>
            <w:r>
              <w:rPr>
                <w:rFonts w:ascii="Times New Roman" w:hAnsi="Times New Roman"/>
                <w:sz w:val="20"/>
              </w:rPr>
              <w:t>— (Bỏ)</w:t>
            </w:r>
          </w:p>
        </w:tc>
      </w:tr>
      <w:tr>
        <w:tc>
          <w:tcPr>
            <w:tcW w:type="dxa" w:w="1994"/>
          </w:tcPr>
          <w:p>
            <w:r/>
            <w:r>
              <w:rPr>
                <w:rFonts w:ascii="Times New Roman" w:hAnsi="Times New Roman"/>
                <w:sz w:val="20"/>
              </w:rPr>
              <w:t>7</w:t>
            </w:r>
          </w:p>
        </w:tc>
        <w:tc>
          <w:tcPr>
            <w:tcW w:type="dxa" w:w="1994"/>
          </w:tcPr>
          <w:p>
            <w:r/>
            <w:r>
              <w:rPr>
                <w:rFonts w:ascii="Times New Roman" w:hAnsi="Times New Roman"/>
                <w:sz w:val="20"/>
              </w:rPr>
              <w:t>Dung môi NC 1212</w:t>
            </w:r>
          </w:p>
        </w:tc>
        <w:tc>
          <w:tcPr>
            <w:tcW w:type="dxa" w:w="1994"/>
          </w:tcPr>
          <w:p>
            <w:r/>
            <w:r>
              <w:rPr>
                <w:rFonts w:ascii="Times New Roman" w:hAnsi="Times New Roman"/>
                <w:sz w:val="20"/>
              </w:rPr>
              <w:t>600</w:t>
            </w:r>
          </w:p>
        </w:tc>
        <w:tc>
          <w:tcPr>
            <w:tcW w:type="dxa" w:w="1994"/>
          </w:tcPr>
          <w:p>
            <w:r/>
            <w:r>
              <w:rPr>
                <w:rFonts w:ascii="Times New Roman" w:hAnsi="Times New Roman"/>
                <w:sz w:val="20"/>
              </w:rPr>
              <w:t>490</w:t>
            </w:r>
          </w:p>
        </w:tc>
        <w:tc>
          <w:tcPr>
            <w:tcW w:type="dxa" w:w="1994"/>
          </w:tcPr>
          <w:p>
            <w:r/>
            <w:r>
              <w:rPr>
                <w:rFonts w:ascii="Times New Roman" w:hAnsi="Times New Roman"/>
                <w:sz w:val="20"/>
              </w:rPr>
              <w:t>600</w:t>
            </w:r>
          </w:p>
        </w:tc>
      </w:tr>
    </w:tbl>
    <w:p>
      <w:pPr>
        <w:spacing w:after="40"/>
      </w:pPr>
    </w:p>
    <w:p>
      <w:pPr>
        <w:pStyle w:val="ListBullet"/>
        <w:spacing w:after="60"/>
      </w:pPr>
      <w:r>
        <w:rPr>
          <w:rFonts w:ascii="Times New Roman" w:hAnsi="Times New Roman"/>
          <w:sz w:val="24"/>
        </w:rPr>
        <w:t>Ghi chú thay đổi: Mẫu 1 = công thức SX cũ đầy đủ binder (Lót NC) + nhựa AK 60; Mẫu 2 = công thức đang áp dụng SX tại xưởng (bỏ hoàn toàn AK 60 và Lót NC AT2, điều chỉnh tỷ lệ dung môi và màu); Mẫu 3 = giữ tỷ lệ màu/dung môi như Mẫu 1, bỏ AK 60, thay Lót NC AT2 (600) bằng Bóng NC 2605 KH (600).</w:t>
      </w:r>
    </w:p>
    <w:p>
      <w:pPr>
        <w:pStyle w:val="ListBullet"/>
        <w:spacing w:after="60"/>
      </w:pPr>
      <w:r>
        <w:rPr>
          <w:rFonts w:ascii="Times New Roman" w:hAnsi="Times New Roman"/>
          <w:sz w:val="24"/>
        </w:rPr>
        <w:t>Hiện tượng: sau 20 giờ khô, kiểm tra độ bám dính (giật băng keo &amp; cắt ca-rô) — màng sơn bong tróc nhăm nhăm trên bề mặt ở cả 3 mẫu; cắt ca-rô giật băng keo không tróc rời thành ô lớn nhưng nhăm nhăm đều các rãnh cắt → đánh giá mức 3B/5B → KHÔNG ĐẠT.</w:t>
      </w:r>
    </w:p>
    <w:p>
      <w:pPr>
        <w:pStyle w:val="ListBullet"/>
        <w:spacing w:after="60"/>
      </w:pPr>
      <w:r>
        <w:rPr>
          <w:rFonts w:ascii="Times New Roman" w:hAnsi="Times New Roman"/>
          <w:sz w:val="24"/>
        </w:rPr>
        <w:t>Nguyên nhân (Root Cause): tách lớp bắt đầu từ lớp Stain màu 2 trở lên bóng; đối chứng quy trình KHÔNG có Stain màu 2 (Gỗ → Lót NC KH → Phun Bóng NC 2605 40%) → độ bám ĐẠT. Kết luận: lớp Stain màu 2 thiếu thành phần nhựa liên kết (binder/resin) và chất trợ bám → đóng vai trò lớp ngăn cách cơ học, làm mất liên kết giữa Lót NC và lớp Phủ bóng NC 2605.</w:t>
      </w:r>
    </w:p>
    <w:p>
      <w:pPr>
        <w:pStyle w:val="ListBullet"/>
        <w:spacing w:after="60"/>
      </w:pPr>
      <w:r>
        <w:rPr>
          <w:rFonts w:ascii="Times New Roman" w:hAnsi="Times New Roman"/>
          <w:sz w:val="24"/>
        </w:rPr>
        <w:t>Giải pháp (điều chỉnh trực tiếp trên chuyền): Stain màu 2 KH Cherry (Điều chỉnh) = Stain màu 2 gốc + 15% Lót NC KH + 1% Phụ gia 08/22. Tác dụng: 15% Lót NC KH bổ sung hàm lượng nhựa binder tạo màng, liên kết chặt với lớp Lót NC bên dưới và tạo chân bám cho lớp Bóng phủ; 1% Phụ gia 08/22 tăng độ thấm sâu và tối ưu lực liên kết bề mặt (intercoat adhesion).</w:t>
      </w:r>
    </w:p>
    <w:p>
      <w:pPr>
        <w:pStyle w:val="ListBullet"/>
        <w:spacing w:after="60"/>
      </w:pPr>
      <w:r>
        <w:rPr>
          <w:rFonts w:ascii="Times New Roman" w:hAnsi="Times New Roman"/>
          <w:sz w:val="24"/>
        </w:rPr>
        <w:t>Kết quả thực tế: sản phẩm hoàn thiện trên chuyền sau 4 giờ kiểm tra QC đạt độ bám dính TUYỆT ĐỐI (PASS).</w:t>
      </w:r>
    </w:p>
    <w:p>
      <w:pPr>
        <w:pStyle w:val="ListBullet"/>
        <w:spacing w:after="60"/>
      </w:pPr>
      <w:r>
        <w:rPr>
          <w:rFonts w:ascii="Times New Roman" w:hAnsi="Times New Roman"/>
          <w:sz w:val="24"/>
        </w:rPr>
        <w:t>Đề xuất chuẩn hóa: (1) cập nhật SOP pha chế — áp dụng công thức điều chỉnh (15% Lót NC KH + 1% Phụ gia 08/22) cho toàn bộ lô Stain màu 2 KH Cherry tại Kim Huy; (2) kiểm tra lưu mẫu giật băng keo lại sau 24 giờ khô hoàn toàn; (3) chuẩn hóa công thức xưởng — phối trộn sẵn nhựa lót + phụ gia tăng bám 08/22 vào công thức gốc tại nhà máy BT Chem trước khi xuất xưởng để hạn chế thao tác thủ công tại nhà máy khách.</w:t>
      </w:r>
    </w:p>
    <w:p>
      <w:pPr>
        <w:spacing w:after="120" w:before="40"/>
      </w:pPr>
      <w:r>
        <w:rPr>
          <w:rFonts w:ascii="Times New Roman" w:hAnsi="Times New Roman"/>
          <w:b w:val="0"/>
          <w:sz w:val="22"/>
        </w:rPr>
        <w:t>⚠️ Lưu ý đối chiếu: phần tóm tắt mô tả "Mẫu 1: Không nhựa AK60; Mẫu 2: Có nhựa AK60" ngược với bảng công thức 3 mẫu trong báo cáo (Mẫu 1 = công thức cũ CÓ nhựa AK60; Mẫu 2 = đang áp dụng SX, BỎ AK60) — đề nghị kiểm tra lại tránh nhầm lẫn.</w:t>
      </w:r>
    </w:p>
    <w:p>
      <w:pPr>
        <w:spacing w:after="60" w:before="40"/>
      </w:pPr>
      <w:r>
        <w:rPr>
          <w:rFonts w:ascii="Times New Roman" w:hAnsi="Times New Roman"/>
          <w:b/>
          <w:sz w:val="24"/>
        </w:rPr>
        <w:t>1.2. Ngày 06/08/2026 — Công ty Kim Huy: Kiểm tra chất lượng màu KH Cherry &amp; thử nghiệm điều chỉnh Stain 2</w:t>
      </w:r>
    </w:p>
    <w:p>
      <w:pPr>
        <w:pStyle w:val="ListBullet"/>
        <w:spacing w:after="60"/>
      </w:pPr>
      <w:r>
        <w:rPr>
          <w:rFonts w:ascii="Times New Roman" w:hAnsi="Times New Roman"/>
          <w:sz w:val="24"/>
        </w:rPr>
        <w:t>Ngày 05/8 → 06/08/2026: sản xuất sản phẩm giường; kỹ thuật điều chỉnh Stain 2 KH Cherry (15% Lót NC KH + 1% Phụ gia 08/22) → sản phẩm hoàn thiện kiểm tra chất lượng ĐẠT yêu cầu (màu sắc, độ bóng, độ bám dính).</w:t>
      </w:r>
    </w:p>
    <w:p>
      <w:pPr>
        <w:pStyle w:val="ListBullet"/>
        <w:spacing w:after="60"/>
      </w:pPr>
      <w:r>
        <w:rPr>
          <w:rFonts w:ascii="Times New Roman" w:hAnsi="Times New Roman"/>
          <w:sz w:val="24"/>
        </w:rPr>
        <w:t>Ngày 06/08/2026: thử nghiệm điều chỉnh Stain màu 2 KH Cherry trên 2 sản phẩm giường (đầu giường), 2 hướng song song:</w:t>
      </w:r>
    </w:p>
    <w:p>
      <w:pPr>
        <w:pStyle w:val="ListBullet"/>
        <w:spacing w:after="60"/>
      </w:pPr>
      <w:r>
        <w:rPr>
          <w:rFonts w:ascii="Times New Roman" w:hAnsi="Times New Roman"/>
          <w:sz w:val="24"/>
        </w:rPr>
        <w:t>CT1 — Công thức 1 của Kỹ thuật (A Sáng), quy trên 1.000 g: Primer BT 2705 (⚠️ số không đọc rõ; phần chi tiết ghi BT 2507): 40 g (4%); Bóng NC 2605 KH 50% (pha 1:1 dung môi NC 1010 KH): 800 g (80%); Vàng 412 (⚠️ số không đọc rõ): 30 g (6% ⚠️ không khớp lượng ~60 g); Đỏ VM 334: 35 g (3,5%); Đen TCL3 (1-2) DM: 6,6 g (0,7%); Xanh lá (XL GT): 8 g (0,8%); Dung môi (DM): 600 g (60%).</w:t>
      </w:r>
    </w:p>
    <w:p>
      <w:pPr>
        <w:pStyle w:val="ListBullet"/>
        <w:spacing w:after="60"/>
      </w:pPr>
      <w:r>
        <w:rPr>
          <w:rFonts w:ascii="Times New Roman" w:hAnsi="Times New Roman"/>
          <w:sz w:val="24"/>
        </w:rPr>
        <w:t>CT2 — Theo chị Yến gợi ý: thêm 5% Phụ gia 08/22 vào hỗn hợp pha Stain màu 2 KH Cherry đang giao cho Kim Huy ngày 03/08/2026 (công thức chỉ màu đơn + dung môi). 💡 Khác với phương án đang áp dụng trên chuyền (15% Lót NC KH + 1% Phụ gia 08/22) — 2 hướng thử nghiệm song song.</w:t>
      </w:r>
    </w:p>
    <w:p>
      <w:pPr>
        <w:pStyle w:val="ListBullet"/>
        <w:spacing w:after="60"/>
      </w:pPr>
      <w:r>
        <w:rPr>
          <w:rFonts w:ascii="Times New Roman" w:hAnsi="Times New Roman"/>
          <w:sz w:val="24"/>
        </w:rPr>
        <w:t>Kế hoạch: ngày 07/08/2026 kiểm tra kết quả (độ bám dính, chất lượng).</w:t>
      </w:r>
    </w:p>
    <w:p>
      <w:pPr>
        <w:spacing w:after="120" w:before="40"/>
      </w:pPr>
      <w:r>
        <w:rPr>
          <w:rFonts w:ascii="Times New Roman" w:hAnsi="Times New Roman"/>
          <w:b w:val="0"/>
          <w:sz w:val="22"/>
        </w:rPr>
        <w:t>⚠️ Lưu ý đối chiếu bản gốc (viết tay mờ): mã primer BT 2705 (bảng đầu) vs BT 2507 (phần chi tiết); Đỏ VM 334 (06/08) vs VM314 (05/08); Đen TCL3 (1-2) DM (06/08) vs TC13 (05/08); dòng Vàng 412 tỷ lệ 6% không khớp lượng 30 g nếu quy 1.000 g (phải ~60 g) — đề nghị kiểm tra mã chính xác.</w:t>
      </w:r>
    </w:p>
    <w:p>
      <w:pPr>
        <w:spacing w:after="60" w:before="40"/>
      </w:pPr>
      <w:r>
        <w:rPr>
          <w:rFonts w:ascii="Times New Roman" w:hAnsi="Times New Roman"/>
          <w:b/>
          <w:sz w:val="24"/>
        </w:rPr>
        <w:t>1.3. Ngày 07/08/2026 — Công ty Kim Huy: Kết quả kiểm tra sau 18 giờ</w:t>
      </w:r>
    </w:p>
    <w:p>
      <w:pPr>
        <w:pStyle w:val="ListBullet"/>
        <w:spacing w:after="60"/>
      </w:pPr>
      <w:r>
        <w:rPr>
          <w:rFonts w:ascii="Times New Roman" w:hAnsi="Times New Roman"/>
          <w:sz w:val="24"/>
        </w:rPr>
        <w:t>M1 — Công thức 1 (của Kỹ thuật): màng sơn còn bong tróc nhăm nhăm nhẹ → KHÔNG ĐẠT (không an toàn).</w:t>
      </w:r>
    </w:p>
    <w:p>
      <w:pPr>
        <w:pStyle w:val="ListBullet"/>
        <w:spacing w:after="60"/>
      </w:pPr>
      <w:r>
        <w:rPr>
          <w:rFonts w:ascii="Times New Roman" w:hAnsi="Times New Roman"/>
          <w:sz w:val="24"/>
        </w:rPr>
        <w:t>M2 — Thêm 5% phụ gia 08/22 vào Stain màu 2 KH Cherry đang giao (MSSX 270726): ĐẠT yêu cầu.</w:t>
      </w:r>
    </w:p>
    <w:p>
      <w:pPr>
        <w:pStyle w:val="ListBullet"/>
        <w:spacing w:after="60"/>
      </w:pPr>
      <w:r>
        <w:rPr>
          <w:rFonts w:ascii="Times New Roman" w:hAnsi="Times New Roman"/>
          <w:sz w:val="24"/>
        </w:rPr>
        <w:t>Kết quả kiểm tra sau 18h: màu sắc so với mẫu gốc — ĐẠT; độ bóng 37 → 41% — ĐẠT (yêu cầu 40 ± 5%); độ bám dính — Mẫu 2 ĐẠT, Mẫu 1 bong tróc nhâm nhâm nhẹ → không an toàn.</w:t>
      </w:r>
    </w:p>
    <w:p>
      <w:pPr>
        <w:pStyle w:val="ListBullet"/>
        <w:spacing w:after="60"/>
      </w:pPr>
      <w:r>
        <w:rPr>
          <w:rFonts w:ascii="Times New Roman" w:hAnsi="Times New Roman"/>
          <w:sz w:val="24"/>
        </w:rPr>
        <w:t>Kết luận: phương án quy trình chỉnh 5% Phụ gia 08/22 vào Stain màu 2 KH Cherry → chất lượng ĐẠT yêu cầu.</w:t>
      </w:r>
    </w:p>
    <w:p>
      <w:pPr>
        <w:pStyle w:val="ListBullet"/>
        <w:spacing w:after="60"/>
      </w:pPr>
      <w:r>
        <w:rPr>
          <w:rFonts w:ascii="Times New Roman" w:hAnsi="Times New Roman"/>
          <w:sz w:val="24"/>
        </w:rPr>
        <w:t>Đang sản xuất trên chuyền màu KH Cherry (sản phẩm tủ): kỹ thuật kiểm tra chất lượng trước khi sản xuất — ĐẠT.</w:t>
      </w:r>
    </w:p>
    <w:p>
      <w:pPr>
        <w:spacing w:after="60" w:before="40"/>
      </w:pPr>
      <w:r>
        <w:rPr>
          <w:rFonts w:ascii="Times New Roman" w:hAnsi="Times New Roman"/>
          <w:b/>
          <w:sz w:val="24"/>
        </w:rPr>
        <w:t>1.4. Ngày 07/08/2026 — Công ty Kim Phong: Khu vực cán UV</w:t>
      </w:r>
    </w:p>
    <w:p>
      <w:pPr>
        <w:pStyle w:val="ListBullet"/>
        <w:spacing w:after="60"/>
      </w:pPr>
      <w:r>
        <w:rPr>
          <w:rFonts w:ascii="Times New Roman" w:hAnsi="Times New Roman"/>
          <w:sz w:val="24"/>
        </w:rPr>
        <w:t>Khu vực cán UV đang cán màu KH Gray FOA và màu KH Cherry. Nhận xét: phôi gỗ PB và ván MDF nhiều nên khi cán lót cán trục màu KH Cherry lên → sản phẩm có sự chênh lệch màu nhiều.</w:t>
      </w:r>
    </w:p>
    <w:p>
      <w:pPr>
        <w:pStyle w:val="ListBullet"/>
        <w:spacing w:after="60"/>
      </w:pPr>
      <w:r>
        <w:rPr>
          <w:rFonts w:ascii="Times New Roman" w:hAnsi="Times New Roman"/>
          <w:sz w:val="24"/>
        </w:rPr>
        <w:t>Chuyền pallet đang SX 2 màu: KP 24112 (màu trắng) — đang hoàn thiện đóng gói, sản phẩm lỗi chiếm khoảng 8%, lỗi chủ yếu khe kẽ và lỗ ghim; KP 22122 (màu đen) — đang công đoạn bóng hoàn thiện.</w:t>
      </w:r>
    </w:p>
    <w:p>
      <w:pPr>
        <w:spacing w:after="60" w:before="40"/>
      </w:pPr>
      <w:r>
        <w:rPr>
          <w:rFonts w:ascii="Times New Roman" w:hAnsi="Times New Roman"/>
          <w:b/>
          <w:sz w:val="24"/>
        </w:rPr>
        <w:t>1.5. Ngày 08/08/2026 — Công ty Thiết Đan: Kiểm tra sản xuất</w:t>
      </w:r>
    </w:p>
    <w:p>
      <w:pPr>
        <w:pStyle w:val="ListBullet"/>
        <w:spacing w:after="60"/>
      </w:pPr>
      <w:r>
        <w:rPr>
          <w:rFonts w:ascii="Times New Roman" w:hAnsi="Times New Roman"/>
          <w:sz w:val="24"/>
        </w:rPr>
        <w:t>Thông tin trong sản xuất: từ ngày 03 → 08/08 kế hoạch sản xuất 7 container: 2 container Wooddy (4 màu TDAN 02, 07, 11, 12) + 5 container của khách WhiteWood (12 màu); sản phẩm: ghế, bàn, tủ, giường.</w:t>
      </w:r>
    </w:p>
    <w:p>
      <w:pPr>
        <w:pStyle w:val="ListBullet"/>
        <w:spacing w:after="60"/>
      </w:pPr>
      <w:r>
        <w:rPr>
          <w:rFonts w:ascii="Times New Roman" w:hAnsi="Times New Roman"/>
          <w:sz w:val="24"/>
        </w:rPr>
        <w:t>Kiểm tra chuyền ngày 08/08: chuyền Pallet — đang SX 2 màu (07 và 12), sản phẩm bàn, tủ; chuyền treo — đang SX màu 11, 07 cho 03 sản phẩm ghế, mặt bàn.</w:t>
      </w:r>
    </w:p>
    <w:p>
      <w:pPr>
        <w:pStyle w:val="ListBullet"/>
        <w:spacing w:after="60"/>
      </w:pPr>
      <w:r>
        <w:rPr>
          <w:rFonts w:ascii="Times New Roman" w:hAnsi="Times New Roman"/>
          <w:sz w:val="24"/>
        </w:rPr>
        <w:t>Đánh giá: kiểm tra các công đoạn màu sắc — ĐẠT; sản phẩm hoàn thiện QC kiểm tra chất lượng — ĐẠT; tỷ lệ tái chế chiếm 5 → 8% — các lỗi móp, chảy sơn, lót khe kẽ được xử lý tái chế ở khu vực tái chế riêng → đủ thời gian, QC kiểm tra và đóng gói.</w:t>
      </w:r>
    </w:p>
    <w:p>
      <w:pPr>
        <w:pStyle w:val="ListBullet"/>
        <w:spacing w:after="60"/>
      </w:pPr>
      <w:r>
        <w:rPr>
          <w:rFonts w:ascii="Times New Roman" w:hAnsi="Times New Roman"/>
          <w:sz w:val="24"/>
        </w:rPr>
        <w:t>Phân công nhân sự: Kỹ thuật Trí — kiểm tra chất lượng trước màu TDAN 07 và kiểm tra chuyền Pallet; Kỹ thuật Hân — kiểm tra chất lượng trên chuyền treo (3 chuyền treo đang SX 3 màu); Kỹ thuật Bưng (Tổ trưởng) — kiểm tra chung, làm việc với khách hàng, xử lý sự cố phát sinh, kiểm tra trước SX màu 11, kiểm tra chuyền và làm mẫu nhận.</w:t>
      </w:r>
    </w:p>
    <w:p>
      <w:pPr>
        <w:pStyle w:val="ListBullet"/>
        <w:spacing w:after="60"/>
      </w:pPr>
      <w:r>
        <w:rPr>
          <w:rFonts w:ascii="Times New Roman" w:hAnsi="Times New Roman"/>
          <w:sz w:val="24"/>
        </w:rPr>
        <w:t>Nhận xét &amp; đề xuất: phân công nhân sự phù hợp, đáp ứng kịp tiến độ kiểm tra trong sản xuất &amp; mẫu; súng phun Lót/Bóng sử dụng súng nén Kremlin (tiết kiệm sơn) phun 1 pass → kiểm soát tốc độ chuyền và thao tác phun chậm, đảm bảo độ dày màng lót đồng đều; chất lượng sản phẩm SX đạt yêu cầu, đã có quy trình hướng dẫn xử lý sản phẩm lỗi (tái chế), kỹ thuật áp dụng kiểm tra kiểm soát.</w:t>
      </w:r>
    </w:p>
    <w:p>
      <w:pPr>
        <w:spacing w:after="160" w:before="40"/>
      </w:pPr>
      <w:r>
        <w:rPr>
          <w:rFonts w:ascii="Times New Roman" w:hAnsi="Times New Roman"/>
          <w:b w:val="0"/>
          <w:sz w:val="22"/>
        </w:rPr>
        <w:t>⚠️ Lưu ý đối chiếu (tóm tắt chat vs bản chính thức từ ảnh): màu chuyền Pallet — tóm tắt ghi TDan 07 và 41 Chesnut, bản chính thức ghi 07 và 12; chuyền treo — tóm tắt ghi 3 màu 03, 07, 11, bản chính thức ghi màu 11, 07; lỗi tái chế — tóm tắt ghi móp, nứt, lợt khe kẽ, bản chính thức ghi móp, chảy sơn, lót khe kẽ — đề nghị kiểm tra.</w:t>
      </w:r>
    </w:p>
    <w:p>
      <w:pPr>
        <w:spacing w:after="80" w:before="40"/>
      </w:pPr>
      <w:r>
        <w:rPr>
          <w:rFonts w:ascii="Times New Roman" w:hAnsi="Times New Roman"/>
          <w:b/>
          <w:sz w:val="26"/>
        </w:rPr>
        <w:t>II. NGUYỄN ANH TRÍ (QC1)</w:t>
      </w:r>
    </w:p>
    <w:p>
      <w:pPr>
        <w:spacing w:after="60" w:before="40"/>
      </w:pPr>
      <w:r>
        <w:rPr>
          <w:rFonts w:ascii="Times New Roman" w:hAnsi="Times New Roman"/>
          <w:b/>
          <w:sz w:val="24"/>
        </w:rPr>
        <w:t>2.1. Ngày 04-05/08/2026 — Nhà máy Phú Khang Phát (PKP): Thử nghiệm mẫu lót cải tiến S03-2410 H (1) 210726</w:t>
      </w:r>
    </w:p>
    <w:p>
      <w:pPr>
        <w:pStyle w:val="ListBullet"/>
        <w:spacing w:after="60"/>
      </w:pPr>
      <w:r>
        <w:rPr>
          <w:rFonts w:ascii="Times New Roman" w:hAnsi="Times New Roman"/>
          <w:sz w:val="24"/>
        </w:rPr>
        <w:t>Sản phẩm thử nghiệm: Lót S03-2410 H Mẫu (1) 210726 — chạy đối chứng song song với Lót S03-2410 H đang sản xuất đại trà. Phôi gỗ: 02 phôi MDF cán UV tại PKP (1 phôi chà nhám lên lớp cán UV; 1 phôi chà nhám bình thường). Nhân sự: anh Hạt (Kỹ thuật BT Chem) &amp; anh Trí (QC BT Chem).</w:t>
      </w:r>
    </w:p>
    <w:p>
      <w:pPr>
        <w:pStyle w:val="ListBullet"/>
        <w:spacing w:after="60"/>
      </w:pPr>
      <w:r>
        <w:rPr>
          <w:rFonts w:ascii="Times New Roman" w:hAnsi="Times New Roman"/>
          <w:sz w:val="24"/>
        </w:rPr>
        <w:t>Quy trình hệ màu PKP 57/22 H: (1) Phun Lót mẫu 1 PKP 57/22 H 1 pass → khô 1h → chà nhám máy run #320 → vuốt nhám tay #320; (2) Phun Lót mẫu 1 (1 pass) → khô 1h → chà máy run #320 → nhám mút #320 chà lại; (3) Phun Lót mẫu 2 PKP 57/22 H (1 pass) → khô 1h → chà #400 → vuốt nhám mút mịn; (4) Phun Sơn màu PKP 57/22 H 101 (1 pass) → khô 1h → vuốt nhám #400 mịn; (5) Phun Sơn màu PKP 57/22 H 101 (2 pass); (6) Khô tự nhiên 20 giờ → kiểm tra chất lượng tổng thể.</w:t>
      </w:r>
    </w:p>
    <w:p>
      <w:pPr>
        <w:pStyle w:val="ListBullet"/>
        <w:spacing w:after="60"/>
      </w:pPr>
      <w:r>
        <w:rPr>
          <w:rFonts w:ascii="Times New Roman" w:hAnsi="Times New Roman"/>
          <w:sz w:val="24"/>
        </w:rPr>
        <w:t>Tỷ lệ pha &amp; độ nhớt (Phễu Din 4): Lót mẫu 1 PKP 57/22 H = 32 giây; Lót mẫu 2 PKP 57/22 H (mẫu) = 30 giây; Sơn màu PKP 57/22 H 101 = 32 giây.</w:t>
      </w:r>
    </w:p>
    <w:p>
      <w:pPr>
        <w:pStyle w:val="ListBullet"/>
        <w:spacing w:after="60"/>
      </w:pPr>
      <w:r>
        <w:rPr>
          <w:rFonts w:ascii="Times New Roman" w:hAnsi="Times New Roman"/>
          <w:sz w:val="24"/>
        </w:rPr>
        <w:t>Độ bóng &amp; màu sắc: ĐẠT. Độ bám dính (cắt ca-rô + giật băng keo): Lót sản xuất đại trà 5B/5B (Đạt); Lót S03-2410 H Mẫu (1) 210726: 5B/5B (Đạt). Ngoại quan: màng sơn nhẵn, phẳng; lót mẫu mới cho màng sơn TRONG và MỊN HƠN rõ rệt so với lót sản xuất.</w:t>
      </w:r>
    </w:p>
    <w:p>
      <w:pPr>
        <w:pStyle w:val="ListBullet"/>
        <w:spacing w:after="60"/>
      </w:pPr>
      <w:r>
        <w:rPr>
          <w:rFonts w:ascii="Times New Roman" w:hAnsi="Times New Roman"/>
          <w:sz w:val="24"/>
        </w:rPr>
        <w:t>Kết luận &amp; hướng xử lý: mẫu cải tiến đạt đầy đủ các chỉ tiêu kỹ thuật về độ bám (5B/5B), đồng thời nâng cao tính thẩm mỹ (độ trong &amp; độ mịn) so với hàng sản xuất hiện tại.</w:t>
      </w:r>
    </w:p>
    <w:p>
      <w:pPr>
        <w:spacing w:after="60" w:before="40"/>
      </w:pPr>
      <w:r>
        <w:rPr>
          <w:rFonts w:ascii="Times New Roman" w:hAnsi="Times New Roman"/>
          <w:b/>
          <w:sz w:val="24"/>
        </w:rPr>
        <w:t>2.2. Ngày 06/08/2026 — Bình Thạnh: Kiểm tra chất lượng 3 Glaze màu mẫu SX</w:t>
      </w:r>
    </w:p>
    <w:p>
      <w:pPr>
        <w:pStyle w:val="ListBullet"/>
        <w:spacing w:after="60"/>
      </w:pPr>
      <w:r>
        <w:rPr>
          <w:rFonts w:ascii="Times New Roman" w:hAnsi="Times New Roman"/>
          <w:sz w:val="24"/>
        </w:rPr>
        <w:t>Kiểm tra chất lượng 3 Glaze màu mẫu SX (pha công glaze màu hỗn hợp): Glaze nâu — mã số 3310726; Glaze đen — mã số 2310726; Glaze TN — mã số 1310726. Thực hiện glaze màu tạo dơ và glaze tạo sọc — kiểm tra song song với hàng đang sản xuất.</w:t>
      </w:r>
    </w:p>
    <w:p>
      <w:pPr>
        <w:pStyle w:val="ListBullet"/>
        <w:spacing w:after="60"/>
      </w:pPr>
      <w:r>
        <w:rPr>
          <w:rFonts w:ascii="Times New Roman" w:hAnsi="Times New Roman"/>
          <w:sz w:val="24"/>
        </w:rPr>
        <w:t>Quy trình đã thực hiện: Stain màu → Lót NC HB (2 lần) → Glaze màu → Lót NC HB → Glaze màu → Lót NC HB. Kế hoạch: mai (07/08/2026) thực hiện tiếp công đoạn bóng hoàn thiện.</w:t>
      </w:r>
    </w:p>
    <w:p>
      <w:pPr>
        <w:pStyle w:val="ListBullet"/>
        <w:spacing w:after="60"/>
      </w:pPr>
      <w:r>
        <w:rPr>
          <w:rFonts w:ascii="Times New Roman" w:hAnsi="Times New Roman"/>
          <w:sz w:val="24"/>
        </w:rPr>
        <w:t>Bảng công thức pha màu (tổng khối lượng 200 g) — Cột Glaze: Glaze nâu BT 2102: 17,14 g; Glaze đen BT 2203: 32,1 g; Vàng YP 618 (1-1) PE: 11,1 g; Đỏ F8RK (1-0.5) PE: 13,9 g; Glaze (1310726) (Màu): 50,2 g; Dung môi Glaze: 75,3 g → Tổng 199,74 ≈ 200 g. Cột Stain: Mỹ 42: 100 g; Đỏ VN 33LD: 11 g; Đen TCL 3 (2104): 7 g; DM NC02: 25 g → Tổng 143 g.</w:t>
      </w:r>
    </w:p>
    <w:p>
      <w:pPr>
        <w:pStyle w:val="ListBullet"/>
        <w:spacing w:after="60"/>
      </w:pPr>
      <w:r>
        <w:rPr>
          <w:rFonts w:ascii="Times New Roman" w:hAnsi="Times New Roman"/>
          <w:sz w:val="24"/>
        </w:rPr>
        <w:t>Quy trình thi công (QT): chà máy phẳng mịn (có thể dặm lại Stain). Bước 1: Thoa Stain (1-5), khô 15 phút – 8 phút; Bước 2: Phun Lót NCHB (1-1.5), 2 pass, khô 90 phút, xả nhám #320 (1 path); Bước 3: Thoa Glaze màu, khô 30-40 phút; Bước 4: Phun Lót NCHB (1-1.5), 2 pass, khô 90 phút, xả nhám #320 (khô 3h); Bước 5: Thoa Glaze màu, khô 30-40 phút; Bước 6: Phun Lót NCHB (1-1.5), 2 pass, khô 90 phút, xả nhám #320 (khô 3h30); Bước 7: Phun Bóng NCHB 30% (1-1.5), 2 pass (khô 4h40).</w:t>
      </w:r>
    </w:p>
    <w:p>
      <w:pPr>
        <w:pStyle w:val="ListBullet"/>
        <w:spacing w:after="60"/>
      </w:pPr>
      <w:r>
        <w:rPr>
          <w:rFonts w:ascii="Times New Roman" w:hAnsi="Times New Roman"/>
          <w:sz w:val="24"/>
        </w:rPr>
        <w:t>Ghi chú: loại gỗ/chi tiết — Thông / Cao su / Tràm; quy cách chia ô thử nghiệm — SX | Mẫu.</w:t>
      </w:r>
    </w:p>
    <w:p>
      <w:pPr>
        <w:pStyle w:val="ListBullet"/>
        <w:spacing w:after="60"/>
      </w:pPr>
      <w:r>
        <w:rPr>
          <w:rFonts w:ascii="Times New Roman" w:hAnsi="Times New Roman"/>
          <w:sz w:val="24"/>
        </w:rPr>
        <w:t>Hiện trường: công đoạn thoa glaze màu (tạo dơ/tạo sọc) — khe giữa các thanh chưa đồng đều, 1 khe còn lộ vệt trắng (bột trét chưa xử lý màu); kết quả chờ đánh giá sau công đoạn bóng hoàn thiện (07/08/2026).</w:t>
      </w:r>
    </w:p>
    <w:p>
      <w:pPr>
        <w:spacing w:after="60" w:before="40"/>
      </w:pPr>
      <w:r>
        <w:rPr>
          <w:rFonts w:ascii="Times New Roman" w:hAnsi="Times New Roman"/>
          <w:b/>
          <w:sz w:val="24"/>
        </w:rPr>
        <w:t>2.3. Ngày 07/08/2026 — Bình Thạnh: Nhật ký công việc</w:t>
      </w:r>
    </w:p>
    <w:p>
      <w:pPr>
        <w:pStyle w:val="ListBullet"/>
        <w:spacing w:after="60"/>
      </w:pPr>
      <w:r>
        <w:rPr>
          <w:rFonts w:ascii="Times New Roman" w:hAnsi="Times New Roman"/>
          <w:sz w:val="24"/>
        </w:rPr>
        <w:t>(1) Tiếp tục thực hiện quy trình kiểm tra chất lượng glaze mẫu sản xuất của hôm qua. (2) Kiểm tra lại chất lượng dính mặt của quy trình màu TV 246 và màu TV 299A — thực hiện song song quy trình chuẩn và quy trình sản xuất thực tế. (3) Kiểm tra chất lượng các lót màu Hạnh Mỹ (điều chỉnh sản xuất để mai giao hàng).</w:t>
      </w:r>
    </w:p>
    <w:p>
      <w:pPr>
        <w:pStyle w:val="ListBullet"/>
        <w:spacing w:after="60"/>
      </w:pPr>
      <w:r>
        <w:rPr>
          <w:rFonts w:ascii="Times New Roman" w:hAnsi="Times New Roman"/>
          <w:sz w:val="24"/>
        </w:rPr>
        <w:t>→ Tất cả đã thực hiện xong quy trình — mai kiểm tra chất lượng. Test màu lót Hành Mỹ: 14 khối gỗ, 6 màu (xanh lá nhạt, xanh dương, đỏ, vàng, xanh lá đậm, hồng nhạt) sơn xong chờ khô để kiểm tra chất lượng, điều chỉnh sản xuất giao hàng.</w:t>
      </w:r>
    </w:p>
    <w:p>
      <w:pPr>
        <w:spacing w:after="120" w:before="40"/>
      </w:pPr>
      <w:r>
        <w:rPr>
          <w:rFonts w:ascii="Times New Roman" w:hAnsi="Times New Roman"/>
          <w:b w:val="0"/>
          <w:sz w:val="22"/>
        </w:rPr>
        <w:t>⚠️ Ghi chú: "Hạnh Mỹ" trong báo cáo — xác nhận là "Hành Mỹ" (khách hàng trong hồ sơ KPH); mục TV 246/TV 299A dính mặt song song chuẩn vs SX thực tế liên quan vụ KPH 62-26 Thịnh Việt dính foam.</w:t>
      </w:r>
    </w:p>
    <w:p>
      <w:pPr>
        <w:spacing w:after="60" w:before="40"/>
      </w:pPr>
      <w:r>
        <w:rPr>
          <w:rFonts w:ascii="Times New Roman" w:hAnsi="Times New Roman"/>
          <w:b/>
          <w:sz w:val="24"/>
        </w:rPr>
        <w:t>2.4. Ngày 07 → 08/08/2026 — Bình Thạnh: Kết quả kiểm tra dính mặt TV 246 &amp; TV 299A</w:t>
      </w:r>
    </w:p>
    <w:p>
      <w:pPr>
        <w:spacing w:after="40" w:before="40"/>
      </w:pPr>
      <w:r>
        <w:rPr>
          <w:rFonts w:ascii="Times New Roman" w:hAnsi="Times New Roman"/>
          <w:b/>
          <w:sz w:val="24"/>
        </w:rPr>
        <w:t>MẪU 1 — TV 246:</w:t>
      </w:r>
    </w:p>
    <w:p>
      <w:pPr>
        <w:pStyle w:val="ListBullet"/>
        <w:spacing w:after="60"/>
      </w:pPr>
      <w:r>
        <w:rPr>
          <w:rFonts w:ascii="Times New Roman" w:hAnsi="Times New Roman"/>
          <w:sz w:val="24"/>
        </w:rPr>
        <w:t>Vật tư: Lót NC KH — MSSX 2260626; Bóng NC NY TV 202 — MSSX 5220626. Kiểm tra trên phôi gỗ tràm; hóa chất lấy tại Cty Bình Thạnh.</w:t>
      </w:r>
    </w:p>
    <w:p>
      <w:pPr>
        <w:pStyle w:val="ListBullet"/>
        <w:spacing w:after="60"/>
      </w:pPr>
      <w:r>
        <w:rPr>
          <w:rFonts w:ascii="Times New Roman" w:hAnsi="Times New Roman"/>
          <w:sz w:val="24"/>
        </w:rPr>
        <w:t>Quy trình SX thực tế: B1: Stain màu → sau 15 phút; B2: Lót NC KH (2 pass) → sau 1H, chà #240; B3: Lót NC KH (2 pass) → sau 1H, chà #320; B4: Stain màu dặm → sau 30 phút; B5: Phun bóng NC NY (TV) 20% (2 pass). Quy trình chuẩn: các bước lót để khô sau 2H giống quy trình (đúng thời gian chuẩn). Thực hiện xong → để khô tự nhiên sau 13 giờ → kiểm tra dính mặt.</w:t>
      </w:r>
    </w:p>
    <w:p>
      <w:pPr>
        <w:pStyle w:val="ListBullet"/>
        <w:spacing w:after="60"/>
      </w:pPr>
      <w:r>
        <w:rPr>
          <w:rFonts w:ascii="Times New Roman" w:hAnsi="Times New Roman"/>
          <w:sz w:val="24"/>
        </w:rPr>
        <w:t>Kết quả: tỷ lệ pha &amp; độ nhớt — Lót NC KH (1:1): 15"18; Bóng NC NY (1:1,5): 14"08. Màng sơn tươi, láng, phẳng.</w:t>
      </w:r>
    </w:p>
    <w:p>
      <w:pPr>
        <w:pStyle w:val="ListBullet"/>
        <w:spacing w:after="60"/>
      </w:pPr>
      <w:r>
        <w:rPr>
          <w:rFonts w:ascii="Times New Roman" w:hAnsi="Times New Roman"/>
          <w:sz w:val="24"/>
        </w:rPr>
        <w:t>Kiểm tra dán dính mặt (khô sau 13H, dán trong 6H tháo ra): QT SX thực tế — 0,1 kg/cm²: KHÔNG ĐẠT; 0,2 kg/cm²: KHÔNG ĐẠT; 0,5 kg/cm²: KHÔNG ĐẠT. QT chuẩn — cả 3 mức: KHÔNG ĐẠT.</w:t>
      </w:r>
    </w:p>
    <w:p>
      <w:pPr>
        <w:pStyle w:val="ListBullet"/>
        <w:spacing w:after="60"/>
      </w:pPr>
      <w:r>
        <w:rPr>
          <w:rFonts w:ascii="Times New Roman" w:hAnsi="Times New Roman"/>
          <w:sz w:val="24"/>
        </w:rPr>
        <w:t>Kết luận: kiểm tra theo QT chuẩn và QT SX thực tế của mẫu TV 246 → dán dính mặt ⇒ KHÔNG ĐẠT, bị dính form (foam).</w:t>
      </w:r>
    </w:p>
    <w:p>
      <w:pPr>
        <w:spacing w:after="80" w:before="40"/>
      </w:pPr>
      <w:r>
        <w:rPr>
          <w:rFonts w:ascii="Times New Roman" w:hAnsi="Times New Roman"/>
          <w:b w:val="0"/>
          <w:sz w:val="22"/>
        </w:rPr>
        <w:t>⚠️ Đối chiếu ảnh TV 246: các ô trên ảnh ghi 0,15 / 0,1 / 0,12 kg/cm² — khác bảng kết quả đã số hóa (0,1 / 0,2 / 0,5 kg/cm²). Đề nghị kiểm tra lại phiếu gốc.</w:t>
      </w:r>
    </w:p>
    <w:p>
      <w:pPr>
        <w:spacing w:after="40" w:before="40"/>
      </w:pPr>
      <w:r>
        <w:rPr>
          <w:rFonts w:ascii="Times New Roman" w:hAnsi="Times New Roman"/>
          <w:b/>
          <w:sz w:val="24"/>
        </w:rPr>
        <w:t>MẪU 2 — TV 299A:</w:t>
      </w:r>
    </w:p>
    <w:p>
      <w:pPr>
        <w:pStyle w:val="ListBullet"/>
        <w:spacing w:after="60"/>
      </w:pPr>
      <w:r>
        <w:rPr>
          <w:rFonts w:ascii="Times New Roman" w:hAnsi="Times New Roman"/>
          <w:sz w:val="24"/>
        </w:rPr>
        <w:t>Vật tư: Lót NC KH — MSSX 2260626; Bóng NC NY (TV) 10% — MSSX 3180726. Kiểm tra trên phôi gỗ cao su; hóa chất lấy tại Cty Bình Thạnh.</w:t>
      </w:r>
    </w:p>
    <w:p>
      <w:pPr>
        <w:pStyle w:val="ListBullet"/>
        <w:spacing w:after="60"/>
      </w:pPr>
      <w:r>
        <w:rPr>
          <w:rFonts w:ascii="Times New Roman" w:hAnsi="Times New Roman"/>
          <w:sz w:val="24"/>
        </w:rPr>
        <w:t>Quy trình SX thực tế: B1: Stain màu → sau 15 phút; B2: Lót NC KH (2 pass) → sau 1H, chà #240; B3: Lau Glaze màu đều bề mặt → lau sạch lại → sau 30 phút; B4: Lót NC KH (2 pass) → sau 1H, chà #320; B5: Phun dặm Glaze màu → dùng cọ đánh lại → sau 30 phút; B6: Lót NC KH (2 pass) → sau 1H, chà #320; B7: Chỉnh sửa Glaze màu → sau 30 phút; B8: Bóng NC NY (TV) 10% (2 pass). Quy trình chuẩn: thực hiện 2 lần lót và 2 lần bóng. Để khô tự nhiên sau 13 giờ → kiểm tra dính mặt.</w:t>
      </w:r>
    </w:p>
    <w:p>
      <w:pPr>
        <w:pStyle w:val="ListBullet"/>
        <w:spacing w:after="60"/>
      </w:pPr>
      <w:r>
        <w:rPr>
          <w:rFonts w:ascii="Times New Roman" w:hAnsi="Times New Roman"/>
          <w:sz w:val="24"/>
        </w:rPr>
        <w:t>Kết quả: tỷ lệ pha &amp; độ nhớt — Lót NC KH (1:1): 15"18; Bóng NC NY TV 10% (1:1,5): 14"12. Màng sơn tươi, láng, phẳng.</w:t>
      </w:r>
    </w:p>
    <w:p>
      <w:pPr>
        <w:pStyle w:val="ListBullet"/>
        <w:spacing w:after="60"/>
      </w:pPr>
      <w:r>
        <w:rPr>
          <w:rFonts w:ascii="Times New Roman" w:hAnsi="Times New Roman"/>
          <w:sz w:val="24"/>
        </w:rPr>
        <w:t>Kiểm tra dán dính mặt (khô sau 13H, dán trong 6 giờ tháo ra): QT SX thực tế — 0,1 kg/cm²: KHÔNG ĐẠT (vết mờ); 0,2 kg/cm²: KHÔNG ĐẠT; 0,5 kg/cm²: KHÔNG ĐẠT. QT chuẩn — cả 3 mức: KHÔNG ĐẠT.</w:t>
      </w:r>
    </w:p>
    <w:p>
      <w:pPr>
        <w:pStyle w:val="ListBullet"/>
        <w:spacing w:after="60"/>
      </w:pPr>
      <w:r>
        <w:rPr>
          <w:rFonts w:ascii="Times New Roman" w:hAnsi="Times New Roman"/>
          <w:sz w:val="24"/>
        </w:rPr>
        <w:t>Kết luận: kiểm tra theo QT chuẩn và QT SX thực tế của mẫu TV 299A → dán dính mặt ⇒ KHÔNG ĐẠT, bị dính form (foam).</w:t>
      </w:r>
    </w:p>
    <w:p>
      <w:pPr>
        <w:pStyle w:val="ListBullet"/>
        <w:spacing w:after="60"/>
      </w:pPr>
      <w:r>
        <w:rPr>
          <w:rFonts w:ascii="Times New Roman" w:hAnsi="Times New Roman"/>
          <w:sz w:val="24"/>
        </w:rPr>
        <w:t>Nhận xét: QT chuẩn — dán dính mặt khối lượng 0,1 kg/cm² có vết mờ hơn so với quy trình sản xuất thực tế.</w:t>
      </w:r>
    </w:p>
    <w:p>
      <w:pPr>
        <w:spacing w:after="160" w:before="40"/>
      </w:pPr>
      <w:r>
        <w:rPr>
          <w:rFonts w:ascii="Times New Roman" w:hAnsi="Times New Roman"/>
          <w:b w:val="0"/>
          <w:sz w:val="22"/>
        </w:rPr>
        <w:t>⚠️ Ghi chú liên hệ: kết quả khớp kế hoạch nhật ký 07/08 (TV 246 &amp; TV 299A — chạy song song QT chuẩn vs SX thực tế → hôm nay kiểm tra). Cả 2 mẫu đều KHÔNG ĐẠT dính mặt — liên quan vụ KPH 62-26 Thịnh Việt dính foam. Phiếu gốc bỏ trống "Thành phần tham dự" và "Nhận xét" (mẫu TV 246); mẫu TV 299A có nhận xét: QT chuẩn dán 0,1 kg/cm² bị vết mờ hơn QT thực tế.</w:t>
      </w:r>
    </w:p>
    <w:p>
      <w:pPr>
        <w:spacing w:after="80" w:before="40"/>
      </w:pPr>
      <w:r>
        <w:rPr>
          <w:rFonts w:ascii="Times New Roman" w:hAnsi="Times New Roman"/>
          <w:b/>
          <w:sz w:val="26"/>
        </w:rPr>
        <w:t>III. TỔNG KẾT</w:t>
      </w:r>
    </w:p>
    <w:p>
      <w:pPr>
        <w:spacing w:after="60" w:before="40"/>
      </w:pPr>
      <w:r>
        <w:rPr>
          <w:rFonts w:ascii="Times New Roman" w:hAnsi="Times New Roman"/>
          <w:b/>
          <w:sz w:val="24"/>
        </w:rPr>
        <w:t>Sự kiện trọng tâm trong giai đoạn 03/08 → 09/08/2026:</w:t>
      </w:r>
    </w:p>
    <w:p>
      <w:pPr>
        <w:pStyle w:val="ListBullet"/>
        <w:spacing w:after="60"/>
      </w:pPr>
      <w:r>
        <w:rPr>
          <w:rFonts w:ascii="Times New Roman" w:hAnsi="Times New Roman"/>
          <w:sz w:val="24"/>
        </w:rPr>
        <w:t>1. Sự cố độ bám dính Stain màu 2 KH Cherry tại Kim Huy (Lộc): nguyên nhân lớp Stain màu 2 thiếu nhựa liên kết (binder/resin) và chất trợ bám → mất liên kết Lót NC ↔ Bóng NC 2605. Xử lý: điều chỉnh trên chuyền 15% Lót NC KH + 1% Phụ gia 08/22 → PASS sau 4h; thử nghiệm song song 2 phương án — CT1 (Kỹ thuật, anh Sáng) chưa đạt, CT2 (+5% Phụ gia 08/22) ĐẠT (độ bóng 37→41%, yêu cầu 40±5%). Kết luận chuẩn hóa: phương án 5% Phụ gia 08/22 vào Stain màu 2 KH Cherry.</w:t>
      </w:r>
    </w:p>
    <w:p>
      <w:pPr>
        <w:pStyle w:val="ListBullet"/>
        <w:spacing w:after="60"/>
      </w:pPr>
      <w:r>
        <w:rPr>
          <w:rFonts w:ascii="Times New Roman" w:hAnsi="Times New Roman"/>
          <w:sz w:val="24"/>
        </w:rPr>
        <w:t>2. Kiểm tra dính mặt TV 246 &amp; TV 299A (Trí, Bình Thạnh): cả 2 mẫu đều KHÔNG ĐẠT dính foam ở cả quy trình chuẩn lẫn quy trình SX thực tế (3 mức lực 0,1/0,2/0,5 kg/cm², khô 13H) — tiếp nối vụ KPH 62-26 Thịnh Việt dính foam.</w:t>
      </w:r>
    </w:p>
    <w:p>
      <w:pPr>
        <w:pStyle w:val="ListBullet"/>
        <w:spacing w:after="60"/>
      </w:pPr>
      <w:r>
        <w:rPr>
          <w:rFonts w:ascii="Times New Roman" w:hAnsi="Times New Roman"/>
          <w:sz w:val="24"/>
        </w:rPr>
        <w:t>3. Thử nghiệm mẫu lót cải tiến S03-2410 H (1) 210726 tại PKP (Trí): đạt đầy đủ chỉ tiêu kỹ thuật (bám dính 5B/5B), màng trong &amp; mịn hơn hàng đại trà → đề xuất áp dụng.</w:t>
      </w:r>
    </w:p>
    <w:p>
      <w:pPr>
        <w:pStyle w:val="ListBullet"/>
        <w:spacing w:after="60"/>
      </w:pPr>
      <w:r>
        <w:rPr>
          <w:rFonts w:ascii="Times New Roman" w:hAnsi="Times New Roman"/>
          <w:sz w:val="24"/>
        </w:rPr>
        <w:t>4. Kiểm tra 3 Glaze màu mẫu SX tại Bình Thạnh (Trí): đã hoàn thành quy trình thi công — chờ đánh giá sau công đoạn bóng hoàn thiện (07/08).</w:t>
      </w:r>
    </w:p>
    <w:p>
      <w:pPr>
        <w:pStyle w:val="ListBullet"/>
        <w:spacing w:after="60"/>
      </w:pPr>
      <w:r>
        <w:rPr>
          <w:rFonts w:ascii="Times New Roman" w:hAnsi="Times New Roman"/>
          <w:sz w:val="24"/>
        </w:rPr>
        <w:t>5. Kiểm tra sản xuất tại Thiết Đan (Lộc): 7 container (2 Wooddy + 5 WhiteWood), chất lượng đạt, tỷ lệ tái chế 5-8% (móp, chảy sơn, lót khe kẽ).</w:t>
      </w:r>
    </w:p>
    <w:p>
      <w:pPr>
        <w:pStyle w:val="ListBullet"/>
        <w:spacing w:after="60"/>
      </w:pPr>
      <w:r>
        <w:rPr>
          <w:rFonts w:ascii="Times New Roman" w:hAnsi="Times New Roman"/>
          <w:sz w:val="24"/>
        </w:rPr>
        <w:t>6. Kim Phong (Lộc): cán UV KH Gray FOA/KH Cherry — chênh lệch màu do phôi PB/MDF nhiều; KP 24112 lỗi ~8% (khe kẽ, lỗ ghim); KP 22122 đang bóng hoàn thiện.</w:t>
      </w:r>
    </w:p>
    <w:p>
      <w:pPr>
        <w:spacing w:after="60" w:before="40"/>
      </w:pPr>
      <w:r>
        <w:rPr>
          <w:rFonts w:ascii="Times New Roman" w:hAnsi="Times New Roman"/>
          <w:b/>
          <w:sz w:val="24"/>
        </w:rPr>
        <w:t>Phân công thực địa:</w:t>
      </w:r>
    </w:p>
    <w:p>
      <w:pPr>
        <w:pStyle w:val="ListBullet"/>
        <w:spacing w:after="60"/>
      </w:pPr>
      <w:r>
        <w:rPr>
          <w:rFonts w:ascii="Times New Roman" w:hAnsi="Times New Roman"/>
          <w:sz w:val="24"/>
        </w:rPr>
        <w:t>Lộc: Kim Huy (sự cố Stain 2 KH Cherry, khắc phục + thử nghiệm), Kim Phong (khu vực cán UV), Thiết Đan (Wooddy/WhiteWood).</w:t>
      </w:r>
    </w:p>
    <w:p>
      <w:pPr>
        <w:pStyle w:val="ListBullet"/>
        <w:spacing w:after="60"/>
      </w:pPr>
      <w:r>
        <w:rPr>
          <w:rFonts w:ascii="Times New Roman" w:hAnsi="Times New Roman"/>
          <w:sz w:val="24"/>
        </w:rPr>
        <w:t>Trí: Phú Khang Phát (thử nghiệm lót cải tiến S03-2410 H), Bình Thạnh (glaze mẫu SX, dính mặt TV 246/TV 299A, lót Hành Mỹ).</w:t>
      </w:r>
    </w:p>
    <w:p>
      <w:pPr>
        <w:spacing w:after="40" w:before="40"/>
        <w:jc w:val="center"/>
      </w:pPr>
      <w:r>
        <w:rPr>
          <w:rFonts w:ascii="Times New Roman" w:hAnsi="Times New Roman"/>
          <w:b w:val="0"/>
          <w:sz w:val="22"/>
        </w:rPr>
        <w:t>— Báo cáo tổng hợp từ các file ghi chép cá nhân: Locqc.md, Tri qc.md —</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