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BÁO CÁO QC — CẬP NHẬT 30/09/2026: Hoàn tất Báo cáo kiểm tra số 02-0926 — độ bám dính Lót màu ĐLO 34 sau hơn 20 giờ không đạt từ mốc 1 giờ · Kiểm tra tại Công ty Tiến Hưng (chuyền 3 màu hệ NC) · Thẻ mẫu BlueRock gỗ Oak bóng 5% màu Natural</w:t>
      </w:r>
    </w:p>
    <w:p>
      <w:r>
        <w:rPr>
          <w:b/>
          <w:i w:val="0"/>
        </w:rPr>
        <w:t>Ngày báo cáo:</w:t>
      </w:r>
      <w:r>
        <w:rPr>
          <w:b w:val="0"/>
          <w:i w:val="0"/>
        </w:rPr>
        <w:t xml:space="preserve"> 30/09/2026</w:t>
      </w:r>
    </w:p>
    <w:p>
      <w:r>
        <w:rPr>
          <w:b/>
          <w:i w:val="0"/>
        </w:rPr>
        <w:t>Người báo cáo:</w:t>
      </w:r>
      <w:r>
        <w:rPr>
          <w:b w:val="0"/>
          <w:i w:val="0"/>
        </w:rPr>
        <w:t xml:space="preserve"> Bùi Thiên Lộc (QC BT Chem)</w:t>
      </w:r>
    </w:p>
    <w:p>
      <w:r>
        <w:rPr>
          <w:b/>
          <w:i w:val="0"/>
        </w:rPr>
        <w:t>Kính gửi:</w:t>
      </w:r>
      <w:r>
        <w:rPr>
          <w:b w:val="0"/>
          <w:i w:val="0"/>
        </w:rPr>
        <w:t xml:space="preserve"> BLĐ phòng Kỹ thuật &amp; phòng QC BT-Chem</w:t>
      </w:r>
    </w:p>
    <w:p>
      <w:pPr>
        <w:pStyle w:val="Heading2"/>
      </w:pPr>
      <w:r>
        <w:t>1. Nguyên văn tin nhắn báo cáo trong ngày</w:t>
      </w:r>
    </w:p>
    <w:p>
      <w:pPr>
        <w:ind w:left="504"/>
      </w:pPr>
      <w:r>
        <w:rPr>
          <w:b w:val="0"/>
          <w:i/>
          <w:sz w:val="20"/>
        </w:rPr>
        <w:t>(18:09) Báo cáo công việc hằng ngày :</w:t>
      </w:r>
    </w:p>
    <w:p>
      <w:pPr>
        <w:ind w:left="504"/>
      </w:pPr>
      <w:r>
        <w:rPr>
          <w:b w:val="0"/>
          <w:i/>
          <w:sz w:val="20"/>
        </w:rPr>
        <w:t>Kiểm tra chất lượng màu DLO 34 đã hoàn thiện qui trình hôm qua: chất lượng độ bám dính của lót màu DLO 34 ( sử dụng nguyên liệu lót TBS 25 và Lót TBS 25 trắng) hỗn hợp mới pha độ bám đạt, theo thời gian độ nhớt tắng ( khởi đầu tỷ lệ pha 2 lót- 1 cứng TBS - 1 dung môi Pu Lót độ nhớt 16"72, sau 4 giờ tăng thêm 12 giây) độ bám không đạt.</w:t>
      </w:r>
    </w:p>
    <w:p>
      <w:pPr>
        <w:ind w:left="504"/>
      </w:pPr>
      <w:r>
        <w:rPr>
          <w:b w:val="0"/>
          <w:i/>
          <w:sz w:val="20"/>
        </w:rPr>
        <w:t>(18:09) Kiểm tra tại cty Tiến Hưng :</w:t>
      </w:r>
    </w:p>
    <w:p>
      <w:pPr>
        <w:ind w:left="504"/>
      </w:pPr>
      <w:r>
        <w:rPr>
          <w:b w:val="0"/>
          <w:i/>
          <w:sz w:val="20"/>
        </w:rPr>
        <w:t>Đang sx trên chuyền 3 màu ( hệ NC  stain, lót, stain , bóng) sản phẩm tủ, giường, ghế. Kiểm tra các công đoạn theo thẻ công đoạn và sản phẩm công đoạn màu sắc đạt. Sản xuất đang gói đầu và hoàn thiện.</w:t>
      </w:r>
    </w:p>
    <w:p>
      <w:pPr>
        <w:ind w:left="504"/>
      </w:pPr>
      <w:r>
        <w:rPr>
          <w:b w:val="0"/>
          <w:i/>
          <w:sz w:val="20"/>
        </w:rPr>
        <w:t>Về màu TTH 270 chưa nhân mẫu lại.</w:t>
      </w:r>
    </w:p>
    <w:p>
      <w:pPr>
        <w:ind w:left="504"/>
      </w:pPr>
      <w:r>
        <w:rPr>
          <w:b w:val="0"/>
          <w:i/>
          <w:sz w:val="20"/>
        </w:rPr>
        <w:t>Đã nhắc kỹ thuật : Có 3 khách hàng các màu hệ pigment yêu cầu chỉ tiêu màu sắc đo bằng máy ( GR, Market, Gannon) khi có kỹ thuật kiểm tra chất lượng trước khi sản xuất đạt sẽ phun 1 đến 2 thẻ đưa khách hàng xác nhận và sẽ gửi về BT Chem lưu 1 thẻ và 1 thẻ giữ lại tại khách hàng ( ghi nhận ngày phun và mã số nguyên liệu sơn phun)</w:t>
      </w:r>
    </w:p>
    <w:p>
      <w:pPr>
        <w:ind w:left="504"/>
      </w:pPr>
      <w:r>
        <w:rPr>
          <w:b/>
          <w:i/>
          <w:sz w:val="20"/>
        </w:rPr>
        <w:t>Nguồn:</w:t>
      </w:r>
      <w:r>
        <w:rPr>
          <w:b w:val="0"/>
          <w:i/>
          <w:sz w:val="20"/>
        </w:rPr>
        <w:t xml:space="preserve"> tin nhắn Zalo của Bùi Thiên Lộc, hội thoại “Loc QC ( So 2)” — gửi lúc 18:09 ngày 30/09/2026: 05 tin nhắn chữ (02 tin nội dung báo cáo, 03 tin nhãn dán biểu tượng); 01 file Word đính kèm (182,65 KB, ghi chú “Đã có trên zCloud”); 21 ảnh; không có video. Hai ảnh liên quan trực tiếp tới mục này do chủ nhân gửi, dùng ở mục 5.</w:t>
      </w:r>
    </w:p>
    <w:p>
      <w:pPr>
        <w:pStyle w:val="Heading2"/>
      </w:pPr>
      <w:r>
        <w:t>2. Báo cáo kết quả kiểm tra số 02-0926 — hoàn tất kết quả độ bám dính (ngày 30/09/2026)</w:t>
      </w:r>
    </w:p>
    <w:p>
      <w:r>
        <w:rPr>
          <w:b/>
          <w:i w:val="0"/>
        </w:rPr>
        <w:t>File nhận qua Zalo:</w:t>
      </w:r>
      <w:r>
        <w:rPr>
          <w:b w:val="0"/>
          <w:i w:val="0"/>
        </w:rPr>
        <w:t xml:space="preserve"> “Báo Cáo Kết Quả Kiểm Tra Độ Ổn Định Chất Lượng Độ Bám Dính Của Hỗn Hợp Pha Lót Màu DLO 34 Theo Thời Gian.docx” — 182,65 KB.</w:t>
      </w:r>
    </w:p>
    <w:p>
      <w:pPr>
        <w:pStyle w:val="Heading3"/>
      </w:pPr>
      <w:r>
        <w:t>2.1. Thông tin chung</w:t>
      </w:r>
    </w:p>
    <w:p>
      <w:pPr>
        <w:pStyle w:val="ListBullet"/>
      </w:pPr>
      <w:r>
        <w:rPr>
          <w:b/>
          <w:i w:val="0"/>
        </w:rPr>
        <w:t>Đơn vị lập:</w:t>
      </w:r>
      <w:r>
        <w:rPr>
          <w:b w:val="0"/>
          <w:i w:val="0"/>
        </w:rPr>
        <w:t xml:space="preserve"> Công ty TNHH SXTM Hóa Keo Bình Thạnh — mẫu </w:t>
      </w:r>
      <w:r>
        <w:rPr>
          <w:b/>
          <w:i w:val="0"/>
        </w:rPr>
        <w:t>QT-KT-SPM/02</w:t>
      </w:r>
      <w:r>
        <w:rPr>
          <w:b w:val="0"/>
          <w:i w:val="0"/>
        </w:rPr>
        <w:t xml:space="preserve">, phụ lục </w:t>
      </w:r>
      <w:r>
        <w:rPr>
          <w:b/>
          <w:i w:val="0"/>
        </w:rPr>
        <w:t>01B</w:t>
      </w:r>
    </w:p>
    <w:p>
      <w:pPr>
        <w:pStyle w:val="ListBullet"/>
      </w:pPr>
      <w:r>
        <w:rPr>
          <w:b/>
          <w:i w:val="0"/>
        </w:rPr>
        <w:t>Số báo cáo:</w:t>
      </w:r>
      <w:r>
        <w:rPr>
          <w:b w:val="0"/>
          <w:i w:val="0"/>
        </w:rPr>
        <w:t xml:space="preserve"> 02 - 0926</w:t>
      </w:r>
    </w:p>
    <w:p>
      <w:pPr>
        <w:pStyle w:val="ListBullet"/>
      </w:pPr>
      <w:r>
        <w:rPr>
          <w:b/>
          <w:i w:val="0"/>
        </w:rPr>
        <w:t>Tên sản phẩm:</w:t>
      </w:r>
      <w:r>
        <w:rPr>
          <w:b w:val="0"/>
          <w:i w:val="0"/>
        </w:rPr>
        <w:t xml:space="preserve"> Màu ĐLO 34 (New) H</w:t>
      </w:r>
    </w:p>
    <w:p>
      <w:pPr>
        <w:pStyle w:val="ListBullet"/>
      </w:pPr>
      <w:r>
        <w:rPr>
          <w:b/>
          <w:i w:val="0"/>
        </w:rPr>
        <w:t>Ngày kiểm tra:</w:t>
      </w:r>
      <w:r>
        <w:rPr>
          <w:b w:val="0"/>
          <w:i w:val="0"/>
        </w:rPr>
        <w:t xml:space="preserve"> 29/09/2026 đến 30/09/2026</w:t>
      </w:r>
    </w:p>
    <w:p>
      <w:pPr>
        <w:pStyle w:val="ListBullet"/>
      </w:pPr>
      <w:r>
        <w:rPr>
          <w:b/>
          <w:i w:val="0"/>
        </w:rPr>
        <w:t>Ngày lập báo cáo:</w:t>
      </w:r>
      <w:r>
        <w:rPr>
          <w:b w:val="0"/>
          <w:i w:val="0"/>
        </w:rPr>
        <w:t xml:space="preserve"> 30/09/2026 — bộ phận thực hiện </w:t>
      </w:r>
      <w:r>
        <w:rPr>
          <w:b/>
          <w:i w:val="0"/>
        </w:rPr>
        <w:t>Phòng QC</w:t>
      </w:r>
      <w:r>
        <w:rPr>
          <w:b w:val="0"/>
          <w:i w:val="0"/>
        </w:rPr>
        <w:t xml:space="preserve">, người phụ trách </w:t>
      </w:r>
      <w:r>
        <w:rPr>
          <w:b/>
          <w:i w:val="0"/>
        </w:rPr>
        <w:t>Bùi Thiên Lộc</w:t>
      </w:r>
    </w:p>
    <w:p>
      <w:pPr>
        <w:pStyle w:val="ListBullet"/>
      </w:pPr>
      <w:r>
        <w:rPr>
          <w:b/>
          <w:i w:val="0"/>
        </w:rPr>
        <w:t>Mục đích (nguyên văn):</w:t>
      </w:r>
      <w:r>
        <w:rPr>
          <w:b w:val="0"/>
          <w:i w:val="0"/>
        </w:rPr>
        <w:t xml:space="preserve"> “Kiểm tra độ ổn định chất lượng chỉ tiêu độ bám dính của hỗn hợp pha Lót Màu DLO 34 theo thời gian sau khi phun lên qui trình.”</w:t>
      </w:r>
    </w:p>
    <w:p>
      <w:pPr>
        <w:pStyle w:val="Heading3"/>
      </w:pPr>
      <w:r>
        <w:t>2.2. Kết quả kiểm tra chất lượng (mục C — nguyên văn bảng)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Mốc thời gian</w:t>
            </w:r>
          </w:p>
        </w:tc>
        <w:tc>
          <w:tcPr>
            <w:tcW w:type="dxa" w:w="216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Độ nhớt hỗn hợp pha lót màu DLO 34 (đo phễu NK 2)</w:t>
            </w:r>
          </w:p>
        </w:tc>
        <w:tc>
          <w:tcPr>
            <w:tcW w:type="dxa" w:w="216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Độ bám dính sau khi hoàn thiện qui trình 20 giờ (cắt ca rô, giật băng keo)</w:t>
            </w:r>
          </w:p>
        </w:tc>
        <w:tc>
          <w:tcPr>
            <w:tcW w:type="dxa" w:w="216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Ghi chú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Hỗn hợp lót mới pha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16”72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~ &gt;3B , &lt;4B/5B — đẩy vật cứng màng sơn lún, không bong tróc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(hệ hở)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Hỗn hợp lót pha sau 1 giờ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17”90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 xml:space="preserve">~ 2B/5B, 3B/5B </w:t>
            </w:r>
            <w:r>
              <w:rPr>
                <w:b/>
                <w:i w:val="0"/>
                <w:sz w:val="19"/>
              </w:rPr>
              <w:t>Không đạt</w:t>
            </w:r>
            <w:r>
              <w:rPr>
                <w:b w:val="0"/>
                <w:i w:val="0"/>
                <w:sz w:val="19"/>
              </w:rPr>
              <w:t xml:space="preserve"> — đẩy vật cứng màng sơn lún, không bong tróc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(hệ hở)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Hỗn hợp lót pha sau 2 giờ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20”98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 xml:space="preserve">~ 2B/5B, 3B/5B </w:t>
            </w:r>
            <w:r>
              <w:rPr>
                <w:b/>
                <w:i w:val="0"/>
                <w:sz w:val="19"/>
              </w:rPr>
              <w:t>Không đạt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(hệ hở)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Hỗn hợp lót pha sau 3 giờ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24”36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 xml:space="preserve">~ 2B/5B, 3B/5B </w:t>
            </w:r>
            <w:r>
              <w:rPr>
                <w:b/>
                <w:i w:val="0"/>
                <w:sz w:val="19"/>
              </w:rPr>
              <w:t>Không đạt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(hệ hở)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Hỗn hợp lót pha sau 4 giờ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28”75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 xml:space="preserve">~ 2B/5B, 3B/5B </w:t>
            </w:r>
            <w:r>
              <w:rPr>
                <w:b/>
                <w:i w:val="0"/>
                <w:sz w:val="19"/>
              </w:rPr>
              <w:t>Không đạt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(hệ hở) · hỗn hợp pha sau 4 giờ độ nhớt tăng 12 giây · sau 8 giờ bắt đầu sệt, độ nhớt &gt; 1 phút</w:t>
            </w:r>
          </w:p>
        </w:tc>
      </w:tr>
    </w:tbl>
    <w:p/>
    <w:p>
      <w:pPr>
        <w:pStyle w:val="Heading3"/>
      </w:pPr>
      <w:r>
        <w:t>2.3. Kết luận và nhận xét (mục D — nguyên văn)</w:t>
      </w:r>
    </w:p>
    <w:p>
      <w:pPr>
        <w:pStyle w:val="ListBullet"/>
      </w:pPr>
      <w:r>
        <w:rPr>
          <w:b w:val="0"/>
          <w:i w:val="0"/>
        </w:rPr>
        <w:t>Độ tăng độ nhớt hỗn hợp pha lót màu ĐLO 34 sau 4 giờ tăng 12 giây.</w:t>
      </w:r>
    </w:p>
    <w:p>
      <w:pPr>
        <w:pStyle w:val="ListBullet"/>
      </w:pPr>
      <w:r>
        <w:rPr>
          <w:b w:val="0"/>
          <w:i w:val="0"/>
        </w:rPr>
        <w:t xml:space="preserve">Độ bám dính: hỗn hợp mới pha sau 1 giờ trở đi (để nguyên độ nhớt không chỉnh thêm dung môi) thực hiện theo qui trình hoàn thiện </w:t>
      </w:r>
      <w:r>
        <w:rPr>
          <w:b/>
          <w:i w:val="0"/>
        </w:rPr>
        <w:t>độ bám dính không đạt</w:t>
      </w:r>
      <w:r>
        <w:rPr>
          <w:b w:val="0"/>
          <w:i w:val="0"/>
        </w:rPr>
        <w:t>.</w:t>
      </w:r>
    </w:p>
    <w:p>
      <w:pPr>
        <w:pStyle w:val="ListBullet"/>
      </w:pPr>
      <w:r>
        <w:rPr>
          <w:b w:val="0"/>
          <w:i w:val="0"/>
        </w:rPr>
        <w:t xml:space="preserve">Gửi phòng QC 2 và phòng RD xem xét lại sự việc trên, </w:t>
      </w:r>
      <w:r>
        <w:rPr>
          <w:b/>
          <w:i w:val="0"/>
        </w:rPr>
        <w:t>độ bám dính không an toàn trong sản xuất</w:t>
      </w:r>
      <w:r>
        <w:rPr>
          <w:b w:val="0"/>
          <w:i w:val="0"/>
        </w:rPr>
        <w:t>. Thường hỗn hợp pha của lót màu ở các nhà máy sử dụng trong 1 buổi làm việc (4 giờ).</w:t>
      </w:r>
    </w:p>
    <w:p>
      <w:pPr>
        <w:pStyle w:val="Heading2"/>
      </w:pPr>
      <w:r>
        <w:t>3. Kết quả kiểm tra tại Công ty Tiến Hưng</w:t>
      </w:r>
    </w:p>
    <w:p>
      <w:pPr>
        <w:pStyle w:val="ListBullet"/>
      </w:pPr>
      <w:r>
        <w:rPr>
          <w:b w:val="0"/>
          <w:i w:val="0"/>
        </w:rPr>
        <w:t xml:space="preserve">Đang sản xuất trên </w:t>
      </w:r>
      <w:r>
        <w:rPr>
          <w:b/>
          <w:i w:val="0"/>
        </w:rPr>
        <w:t>chuyền 3 màu (hệ NC: stain, lót, stain, bóng)</w:t>
      </w:r>
      <w:r>
        <w:rPr>
          <w:b w:val="0"/>
          <w:i w:val="0"/>
        </w:rPr>
        <w:t xml:space="preserve"> cho sản phẩm </w:t>
      </w:r>
      <w:r>
        <w:rPr>
          <w:b/>
          <w:i w:val="0"/>
        </w:rPr>
        <w:t>tủ, giường, ghế</w:t>
      </w:r>
      <w:r>
        <w:rPr>
          <w:b w:val="0"/>
          <w:i w:val="0"/>
        </w:rPr>
        <w:t xml:space="preserve">; kiểm tra các công đoạn theo thẻ công đoạn và sản phẩm công đoạn — </w:t>
      </w:r>
      <w:r>
        <w:rPr>
          <w:b/>
          <w:i w:val="0"/>
        </w:rPr>
        <w:t>màu sắc đạt</w:t>
      </w:r>
      <w:r>
        <w:rPr>
          <w:b w:val="0"/>
          <w:i w:val="0"/>
        </w:rPr>
        <w:t>; sản xuất đang gói đầu và hoàn thiện.</w:t>
      </w:r>
    </w:p>
    <w:p>
      <w:pPr>
        <w:pStyle w:val="ListBullet"/>
      </w:pPr>
      <w:r>
        <w:rPr>
          <w:b/>
          <w:i w:val="0"/>
        </w:rPr>
        <w:t>Màu TTH 270:</w:t>
      </w:r>
      <w:r>
        <w:rPr>
          <w:b w:val="0"/>
          <w:i w:val="0"/>
        </w:rPr>
        <w:t xml:space="preserve"> chưa nhân mẫu lại.</w:t>
      </w:r>
    </w:p>
    <w:p>
      <w:pPr>
        <w:pStyle w:val="ListBullet"/>
      </w:pPr>
      <w:r>
        <w:rPr>
          <w:b/>
          <w:i w:val="0"/>
        </w:rPr>
        <w:t>Đã nhắc kỹ thuật:</w:t>
      </w:r>
      <w:r>
        <w:rPr>
          <w:b w:val="0"/>
          <w:i w:val="0"/>
        </w:rPr>
        <w:t xml:space="preserve"> có </w:t>
      </w:r>
      <w:r>
        <w:rPr>
          <w:b/>
          <w:i w:val="0"/>
        </w:rPr>
        <w:t>3 khách hàng</w:t>
      </w:r>
      <w:r>
        <w:rPr>
          <w:b w:val="0"/>
          <w:i w:val="0"/>
        </w:rPr>
        <w:t xml:space="preserve"> với các màu hệ pigment yêu cầu chỉ tiêu màu sắc </w:t>
      </w:r>
      <w:r>
        <w:rPr>
          <w:b/>
          <w:i w:val="0"/>
        </w:rPr>
        <w:t>đo bằng máy (GR, Market, Gannon)</w:t>
      </w:r>
      <w:r>
        <w:rPr>
          <w:b w:val="0"/>
          <w:i w:val="0"/>
        </w:rPr>
        <w:t xml:space="preserve">; khi kỹ thuật kiểm tra chất lượng trước khi sản xuất đạt sẽ </w:t>
      </w:r>
      <w:r>
        <w:rPr>
          <w:b/>
          <w:i w:val="0"/>
        </w:rPr>
        <w:t>phun 1 đến 2 thẻ</w:t>
      </w:r>
      <w:r>
        <w:rPr>
          <w:b w:val="0"/>
          <w:i w:val="0"/>
        </w:rPr>
        <w:t xml:space="preserve"> đưa khách hàng xác nhận, gửi về BT Chem lưu </w:t>
      </w:r>
      <w:r>
        <w:rPr>
          <w:b/>
          <w:i w:val="0"/>
        </w:rPr>
        <w:t>1 thẻ</w:t>
      </w:r>
      <w:r>
        <w:rPr>
          <w:b w:val="0"/>
          <w:i w:val="0"/>
        </w:rPr>
        <w:t xml:space="preserve"> và giữ lại tại khách hàng </w:t>
      </w:r>
      <w:r>
        <w:rPr>
          <w:b/>
          <w:i w:val="0"/>
        </w:rPr>
        <w:t>1 thẻ</w:t>
      </w:r>
      <w:r>
        <w:rPr>
          <w:b w:val="0"/>
          <w:i w:val="0"/>
        </w:rPr>
        <w:t xml:space="preserve"> (có ghi nhận ngày phun và mã số nguyên liệu sơn phun).</w:t>
      </w:r>
    </w:p>
    <w:p>
      <w:pPr>
        <w:pStyle w:val="Heading2"/>
      </w:pPr>
      <w:r>
        <w:t>4. Thẻ mẫu sản phẩm BlueRock (gỗ Oak — hoàn thiện NC — bóng 5% màu Natural)</w:t>
      </w:r>
    </w:p>
    <w:p>
      <w:r>
        <w:rPr>
          <w:b w:val="0"/>
          <w:i w:val="0"/>
        </w:rPr>
        <w:t>Ghi nhận từ ảnh thẻ mẫu:</w:t>
      </w:r>
    </w:p>
    <w:p>
      <w:pPr>
        <w:pStyle w:val="ListBullet"/>
      </w:pPr>
      <w:r>
        <w:rPr>
          <w:b/>
          <w:i w:val="0"/>
        </w:rPr>
        <w:t>Đơn vị phát hành thẻ:</w:t>
      </w:r>
      <w:r>
        <w:rPr>
          <w:b w:val="0"/>
          <w:i w:val="0"/>
        </w:rPr>
        <w:t xml:space="preserve"> BLUE ROCK Asian Sourcing Solutions</w:t>
      </w:r>
    </w:p>
    <w:p>
      <w:pPr>
        <w:pStyle w:val="ListBullet"/>
      </w:pPr>
      <w:r>
        <w:rPr>
          <w:b/>
          <w:i w:val="0"/>
        </w:rPr>
        <w:t>Loại hoàn thiện (Finishing name):</w:t>
      </w:r>
      <w:r>
        <w:rPr>
          <w:b w:val="0"/>
          <w:i w:val="0"/>
        </w:rPr>
        <w:t xml:space="preserve"> NC</w:t>
      </w:r>
    </w:p>
    <w:p>
      <w:pPr>
        <w:pStyle w:val="ListBullet"/>
      </w:pPr>
      <w:r>
        <w:rPr>
          <w:b/>
          <w:i w:val="0"/>
        </w:rPr>
        <w:t>Loài gỗ (Timber Species):</w:t>
      </w:r>
      <w:r>
        <w:rPr>
          <w:b w:val="0"/>
          <w:i w:val="0"/>
        </w:rPr>
        <w:t xml:space="preserve"> Solid + Veneer oak</w:t>
      </w:r>
    </w:p>
    <w:p>
      <w:pPr>
        <w:pStyle w:val="ListBullet"/>
      </w:pPr>
      <w:r>
        <w:rPr>
          <w:b/>
          <w:i w:val="0"/>
        </w:rPr>
        <w:t>Tên bộ sản phẩm (Range name):</w:t>
      </w:r>
      <w:r>
        <w:rPr>
          <w:b w:val="0"/>
          <w:i w:val="0"/>
        </w:rPr>
        <w:t xml:space="preserve"> Keys shelving Units</w:t>
      </w:r>
    </w:p>
    <w:p>
      <w:pPr>
        <w:pStyle w:val="ListBullet"/>
      </w:pPr>
      <w:r>
        <w:rPr>
          <w:b/>
          <w:i w:val="0"/>
        </w:rPr>
        <w:t>Nhà cung cấp (Supplier name):</w:t>
      </w:r>
      <w:r>
        <w:rPr>
          <w:b w:val="0"/>
          <w:i w:val="0"/>
        </w:rPr>
        <w:t xml:space="preserve"> Tiến Hưng</w:t>
      </w:r>
    </w:p>
    <w:p>
      <w:pPr>
        <w:pStyle w:val="ListBullet"/>
      </w:pPr>
      <w:r>
        <w:rPr>
          <w:b/>
          <w:i w:val="0"/>
        </w:rPr>
        <w:t>Màu sắc ghi trên thẻ (Supplier reference):</w:t>
      </w:r>
      <w:r>
        <w:rPr>
          <w:b w:val="0"/>
          <w:i w:val="0"/>
        </w:rPr>
        <w:t xml:space="preserve"> Gloss 5% Natural color</w:t>
      </w:r>
    </w:p>
    <w:p>
      <w:pPr>
        <w:pStyle w:val="ListBullet"/>
      </w:pPr>
      <w:r>
        <w:rPr>
          <w:b/>
          <w:i w:val="0"/>
        </w:rPr>
        <w:t>Nhãn kiểm định:</w:t>
      </w:r>
      <w:r>
        <w:rPr>
          <w:b w:val="0"/>
          <w:i w:val="0"/>
        </w:rPr>
        <w:t xml:space="preserve"> tem tròn “APPROVED SAMPLE” (logo BlueRock Sourcing Solutions, dòng dưới “QE”) có dấu mộc đỏ đóng chìm và chữ ký nháy mực xanh đè lên tem; số ghi tay ở góc trên </w:t>
      </w:r>
      <w:r>
        <w:rPr>
          <w:b/>
          <w:i w:val="0"/>
        </w:rPr>
        <w:t>4/7</w:t>
      </w:r>
    </w:p>
    <w:p>
      <w:pPr>
        <w:pStyle w:val="ListBullet"/>
      </w:pPr>
      <w:r>
        <w:rPr>
          <w:b/>
          <w:i w:val="0"/>
        </w:rPr>
        <w:t>Ghi chú viết tay trên băng dính giấy:</w:t>
      </w:r>
      <w:r>
        <w:rPr>
          <w:b w:val="0"/>
          <w:i w:val="0"/>
        </w:rPr>
        <w:t xml:space="preserve"> “approval Veneer color only” — </w:t>
      </w:r>
      <w:r>
        <w:rPr>
          <w:b/>
          <w:i w:val="0"/>
        </w:rPr>
        <w:t>chỉ phê duyệt màu phần veneer</w:t>
      </w:r>
    </w:p>
    <w:p>
      <w:pPr>
        <w:pStyle w:val="ListBullet"/>
      </w:pPr>
      <w:r>
        <w:rPr>
          <w:b w:val="0"/>
          <w:i w:val="0"/>
        </w:rPr>
        <w:t xml:space="preserve">Trên phôi gỗ có ký hiệu </w:t>
      </w:r>
      <w:r>
        <w:rPr>
          <w:b/>
          <w:i w:val="0"/>
        </w:rPr>
        <w:t>X</w:t>
      </w:r>
      <w:r>
        <w:rPr>
          <w:b w:val="0"/>
          <w:i w:val="0"/>
        </w:rPr>
        <w:t xml:space="preserve"> đánh dấu</w:t>
      </w:r>
    </w:p>
    <w:p>
      <w:pPr>
        <w:pStyle w:val="Heading2"/>
      </w:pPr>
      <w:r>
        <w:t>5. Ảnh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c_dlo34_bienban_020926_trang1_3009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432054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c_tienhung_themau_blueRock_oak_bong5_3009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504"/>
      </w:pPr>
      <w:r>
        <w:rPr>
          <w:b w:val="0"/>
          <w:i/>
          <w:sz w:val="20"/>
        </w:rPr>
        <w:t xml:space="preserve">⚠️ </w:t>
      </w:r>
      <w:r>
        <w:rPr>
          <w:b/>
          <w:i/>
          <w:sz w:val="20"/>
        </w:rPr>
        <w:t>Ghi chú đối chiếu &amp; theo dõi: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Nối đúng mốc chờ ở mục 29/09/2026:</w:t>
      </w:r>
      <w:r>
        <w:rPr>
          <w:b w:val="0"/>
          <w:i/>
          <w:sz w:val="20"/>
        </w:rPr>
        <w:t xml:space="preserve"> mục 29/09 ghi </w:t>
      </w:r>
      <w:r>
        <w:rPr>
          <w:b w:val="0"/>
          <w:i/>
          <w:sz w:val="20"/>
        </w:rPr>
        <w:t>“mốc còn lại là ngày 30/09/2026 kiểm tra độ bám dính (cắt ca-rô, giật băng keo sau hơn 20 giờ)”</w:t>
      </w:r>
      <w:r>
        <w:rPr>
          <w:b w:val="0"/>
          <w:i/>
          <w:sz w:val="20"/>
        </w:rPr>
        <w:t xml:space="preserve"> — hôm nay đã có kết quả và </w:t>
      </w:r>
      <w:r>
        <w:rPr>
          <w:b/>
          <w:i/>
          <w:sz w:val="20"/>
        </w:rPr>
        <w:t>mục D đã được điền</w:t>
      </w:r>
      <w:r>
        <w:rPr>
          <w:b w:val="0"/>
          <w:i/>
          <w:sz w:val="20"/>
        </w:rPr>
        <w:t xml:space="preserve"> ⇒ báo cáo </w:t>
      </w:r>
      <w:r>
        <w:rPr>
          <w:b/>
          <w:i/>
          <w:sz w:val="20"/>
        </w:rPr>
        <w:t>02-0926 đã hoàn tất</w:t>
      </w:r>
      <w:r>
        <w:rPr>
          <w:b w:val="0"/>
          <w:i/>
          <w:sz w:val="20"/>
        </w:rPr>
        <w:t>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Số liệu độ nhớt trong file Word khớp đúng bảng in hôm qua:</w:t>
      </w:r>
      <w:r>
        <w:rPr>
          <w:b w:val="0"/>
          <w:i/>
          <w:sz w:val="20"/>
        </w:rPr>
        <w:t xml:space="preserve"> 16”72 · 17”90 · 20”98 · 24”36 · 28”75 — không còn lệch so với số viết tay trên cốc (17”94 · 24”30 · 28”15) ⇒ chứng từ chính thức lấy số theo </w:t>
      </w:r>
      <w:r>
        <w:rPr>
          <w:b/>
          <w:i/>
          <w:sz w:val="20"/>
        </w:rPr>
        <w:t>bảng in</w:t>
      </w:r>
      <w:r>
        <w:rPr>
          <w:b w:val="0"/>
          <w:i/>
          <w:sz w:val="20"/>
        </w:rPr>
        <w:t xml:space="preserve"> như đã chốt ở mục 29/09.</w:t>
      </w:r>
    </w:p>
    <w:p>
      <w:pPr>
        <w:ind w:left="504"/>
      </w:pPr>
      <w:r>
        <w:rPr>
          <w:b w:val="0"/>
          <w:i/>
          <w:sz w:val="20"/>
        </w:rPr>
        <w:t xml:space="preserve">- ⚠️ </w:t>
      </w:r>
      <w:r>
        <w:rPr>
          <w:b/>
          <w:i/>
          <w:sz w:val="20"/>
        </w:rPr>
        <w:t>Cần QC làm rõ:</w:t>
      </w:r>
      <w:r>
        <w:rPr>
          <w:b w:val="0"/>
          <w:i/>
          <w:sz w:val="20"/>
        </w:rPr>
        <w:t xml:space="preserve"> mốc “hỗn hợp lót mới pha” ghi kết quả </w:t>
      </w:r>
      <w:r>
        <w:rPr>
          <w:b/>
          <w:i/>
          <w:sz w:val="20"/>
        </w:rPr>
        <w:t>~ &gt;3B, &lt;4B/5B</w:t>
      </w:r>
      <w:r>
        <w:rPr>
          <w:b w:val="0"/>
          <w:i/>
          <w:sz w:val="20"/>
        </w:rPr>
        <w:t xml:space="preserve"> nhưng </w:t>
      </w:r>
      <w:r>
        <w:rPr>
          <w:b/>
          <w:i/>
          <w:sz w:val="20"/>
        </w:rPr>
        <w:t>không ghi đạt/không đạt</w:t>
      </w:r>
      <w:r>
        <w:rPr>
          <w:b w:val="0"/>
          <w:i/>
          <w:sz w:val="20"/>
        </w:rPr>
        <w:t xml:space="preserve">, trong khi tin nhắn nói “hỗn hợp mới pha độ bám đạt” — đề nghị ghi rõ </w:t>
      </w:r>
      <w:r>
        <w:rPr>
          <w:b/>
          <w:i/>
          <w:sz w:val="20"/>
        </w:rPr>
        <w:t>ngưỡng đạt</w:t>
      </w:r>
      <w:r>
        <w:rPr>
          <w:b w:val="0"/>
          <w:i/>
          <w:sz w:val="20"/>
        </w:rPr>
        <w:t xml:space="preserve"> (ví dụ ≥ 4B) vào mẫu báo cáo để các lô sau không phải tranh luận.</w:t>
      </w:r>
    </w:p>
    <w:p>
      <w:pPr>
        <w:ind w:left="504"/>
      </w:pPr>
      <w:r>
        <w:rPr>
          <w:b w:val="0"/>
          <w:i/>
          <w:sz w:val="20"/>
        </w:rPr>
        <w:t xml:space="preserve">- ⚠️ </w:t>
      </w:r>
      <w:r>
        <w:rPr>
          <w:b/>
          <w:i/>
          <w:sz w:val="20"/>
        </w:rPr>
        <w:t>Ảnh báo cáo giấy chỉ chụp Trang 1</w:t>
      </w:r>
      <w:r>
        <w:rPr>
          <w:b w:val="0"/>
          <w:i/>
          <w:sz w:val="20"/>
        </w:rPr>
        <w:t xml:space="preserve"> (mục A thông tin sản phẩm + mục B quy trình, nguyên liệu), </w:t>
      </w:r>
      <w:r>
        <w:rPr>
          <w:b/>
          <w:i/>
          <w:sz w:val="20"/>
        </w:rPr>
        <w:t>thiếu Trang 2</w:t>
      </w:r>
      <w:r>
        <w:rPr>
          <w:b w:val="0"/>
          <w:i/>
          <w:sz w:val="20"/>
        </w:rPr>
        <w:t xml:space="preserve"> (bảng kết quả mục C, kết luận mục D, chữ ký) ⇒ số liệu trong mục 2 lấy từ </w:t>
      </w:r>
      <w:r>
        <w:rPr>
          <w:b/>
          <w:i/>
          <w:sz w:val="20"/>
        </w:rPr>
        <w:t>file Word</w:t>
      </w:r>
      <w:r>
        <w:rPr>
          <w:b w:val="0"/>
          <w:i/>
          <w:sz w:val="20"/>
        </w:rPr>
        <w:t xml:space="preserve"> đính kèm, không phải từ ảnh.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Lệch mã số mẫu lưu (đã ghi ở mục 29/09):</w:t>
      </w:r>
      <w:r>
        <w:rPr>
          <w:b w:val="0"/>
          <w:i/>
          <w:sz w:val="20"/>
        </w:rPr>
        <w:t xml:space="preserve"> báo cáo in “mẫu lưu tại phòng QC mã số </w:t>
      </w:r>
      <w:r>
        <w:rPr>
          <w:b/>
          <w:i/>
          <w:sz w:val="20"/>
        </w:rPr>
        <w:t>190926</w:t>
      </w:r>
      <w:r>
        <w:rPr>
          <w:b w:val="0"/>
          <w:i/>
          <w:sz w:val="20"/>
        </w:rPr>
        <w:t xml:space="preserve">”, nhãn hũ mẫu lưu tại xưởng ghi </w:t>
      </w:r>
      <w:r>
        <w:rPr>
          <w:b/>
          <w:i/>
          <w:sz w:val="20"/>
        </w:rPr>
        <w:t>1190926</w:t>
      </w:r>
      <w:r>
        <w:rPr>
          <w:b w:val="0"/>
          <w:i/>
          <w:sz w:val="20"/>
        </w:rPr>
        <w:t xml:space="preserve"> — đề nghị thống nhất một mã.</w:t>
      </w:r>
    </w:p>
    <w:p>
      <w:pPr>
        <w:ind w:left="504"/>
      </w:pPr>
      <w:r>
        <w:rPr>
          <w:b w:val="0"/>
          <w:i/>
          <w:sz w:val="20"/>
        </w:rPr>
        <w:t xml:space="preserve">- ⚠️ </w:t>
      </w:r>
      <w:r>
        <w:rPr>
          <w:b/>
          <w:i/>
          <w:sz w:val="20"/>
        </w:rPr>
        <w:t>Việc đã chuyển nhưng chưa có phản hồi:</w:t>
      </w:r>
      <w:r>
        <w:rPr>
          <w:b w:val="0"/>
          <w:i/>
          <w:sz w:val="20"/>
        </w:rPr>
        <w:t xml:space="preserve"> báo cáo ghi </w:t>
      </w:r>
      <w:r>
        <w:rPr>
          <w:b w:val="0"/>
          <w:i/>
          <w:sz w:val="20"/>
        </w:rPr>
        <w:t>“Gửi phòng QC 2 và phòng RD xem xét lại sự việc trên”</w:t>
      </w:r>
      <w:r>
        <w:rPr>
          <w:b w:val="0"/>
          <w:i/>
          <w:sz w:val="20"/>
        </w:rPr>
        <w:t xml:space="preserve"> ⇒ cần theo dõi ý kiến QC2/R&amp;D (chưa có trong ngày 30/09).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Liên quan khuyến nghị đang treo:</w:t>
      </w:r>
      <w:r>
        <w:rPr>
          <w:b w:val="0"/>
          <w:i/>
          <w:sz w:val="20"/>
        </w:rPr>
        <w:t xml:space="preserve"> theo mục 29/09, đề nghị giữ khuyến nghị </w:t>
      </w:r>
      <w:r>
        <w:rPr>
          <w:b/>
          <w:i/>
          <w:sz w:val="20"/>
        </w:rPr>
        <w:t>dùng trong 3 giờ</w:t>
      </w:r>
      <w:r>
        <w:rPr>
          <w:b w:val="0"/>
          <w:i/>
          <w:sz w:val="20"/>
        </w:rPr>
        <w:t xml:space="preserve">; kết quả hôm nay cho thấy </w:t>
      </w:r>
      <w:r>
        <w:rPr>
          <w:b/>
          <w:i/>
          <w:sz w:val="20"/>
        </w:rPr>
        <w:t>từ mốc 1 giờ trở đi đã không đạt bám dính khi để nguyên độ nhớt</w:t>
      </w:r>
      <w:r>
        <w:rPr>
          <w:b w:val="0"/>
          <w:i/>
          <w:sz w:val="20"/>
        </w:rPr>
        <w:t xml:space="preserve"> ⇒ đề nghị R&amp;D/QC2 chốt lại: pha tới đâu phun tới đó (≤ 1 giờ) hoặc phải chỉnh thêm dung môi trước khi phun.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Theo dõi tại Tiến Hưng:</w:t>
      </w:r>
      <w:r>
        <w:rPr>
          <w:b w:val="0"/>
          <w:i/>
          <w:sz w:val="20"/>
        </w:rPr>
        <w:t xml:space="preserve"> màu </w:t>
      </w:r>
      <w:r>
        <w:rPr>
          <w:b/>
          <w:i/>
          <w:sz w:val="20"/>
        </w:rPr>
        <w:t>TTH 270</w:t>
      </w:r>
      <w:r>
        <w:rPr>
          <w:b w:val="0"/>
          <w:i/>
          <w:sz w:val="20"/>
        </w:rPr>
        <w:t xml:space="preserve"> còn treo “chưa nhân mẫu lại”; thẻ mẫu BlueRock ghi rõ </w:t>
      </w:r>
      <w:r>
        <w:rPr>
          <w:b/>
          <w:i/>
          <w:sz w:val="20"/>
        </w:rPr>
        <w:t>chỉ duyệt màu veneer</w:t>
      </w:r>
      <w:r>
        <w:rPr>
          <w:b w:val="0"/>
          <w:i/>
          <w:sz w:val="20"/>
        </w:rPr>
        <w:t xml:space="preserve"> ⇒ chưa xác nhận màng sơn/độ bóng; với </w:t>
      </w:r>
      <w:r>
        <w:rPr>
          <w:b/>
          <w:i/>
          <w:sz w:val="20"/>
        </w:rPr>
        <w:t>3 khách hàng pigment (GR, Market, Gannon)</w:t>
      </w:r>
      <w:r>
        <w:rPr>
          <w:b w:val="0"/>
          <w:i/>
          <w:sz w:val="20"/>
        </w:rPr>
        <w:t xml:space="preserve"> cần chốt thẻ mẫu mới trước khi sản xuất.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