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/>
          <w:b/>
          <w:sz w:val="27"/>
        </w:rPr>
        <w:t>PHÂN TÍCH LẠI GIÁ NGUYÊN LIỆU UV THEO DIỄN BIẾN GIÁ DẦU – CHIẾN SỰ – THƯƠNG CHIẾN</w:t>
      </w:r>
    </w:p>
    <w:p>
      <w:pPr>
        <w:spacing w:after="80"/>
      </w:pPr>
      <w:r>
        <w:rPr>
          <w:rFonts w:ascii="Arial" w:hAnsi="Arial"/>
          <w:b/>
          <w:sz w:val="22"/>
        </w:rPr>
        <w:t>Đối tượng: B-113 · TPGDA · TMPTA · HDDA  |  Bản V2 ngày 25/09/2026 (thay thế kết luận của bản V1 cùng ngày)</w:t>
      </w:r>
    </w:p>
    <w:p>
      <w:pPr>
        <w:spacing w:after="80"/>
      </w:pPr>
      <w:r>
        <w:rPr>
          <w:rFonts w:ascii="Arial" w:hAnsi="Arial"/>
          <w:b w:val="0"/>
          <w:sz w:val="19"/>
        </w:rPr>
        <w:t>Dữ liệu dầu/naphtha: Trading Economics ngày 24–25/09/2026 · Xi măng-vận tải-khủng hoảng eo biển: IEA, Forbes, Discovery Alert (09/2026) · Hoá chất Trung Quốc: chempricehub, ECHEMI, SCI99 (16–24/09/2026) · Thương chiến: TCBS Research (24/07/2026), Reuters/NYT (21/09/2026), Coface, plastmatch (thuế chống bán phá giá nhựa epoxy).</w:t>
      </w:r>
    </w:p>
    <w:p>
      <w:pPr>
        <w:pStyle w:val="Heading2"/>
      </w:pPr>
      <w:r>
        <w:rPr>
          <w:rFonts w:ascii="Arial" w:hAnsi="Arial"/>
        </w:rPr>
        <w:t>1. VÌ SAO PHẢI PHÂN TÍCH LẠI</w:t>
      </w:r>
    </w:p>
    <w:p>
      <w:pPr>
        <w:spacing w:after="80"/>
      </w:pPr>
      <w:r>
        <w:rPr>
          <w:rFonts w:ascii="Arial" w:hAnsi="Arial"/>
          <w:b w:val="0"/>
          <w:sz w:val="20"/>
        </w:rPr>
        <w:t>Bản V1 nghiêng về “tăng ngắn hạn 1 quý rồi hạ nhiệt” dựa trên số liệu cấu trúc (dư cung Trung Quốc) lấy từ đầu năm 2026. Số liệu mới nhất tháng 9/2026 cho thấy bối cảnh năng lượng đã xấu đi rõ rệt: giá dầu cao hơn 50% so với cùng kỳ và hai tuyến eo biển quan trọng đều bị ách tắc. Vì vậy phải nâng mức rủi ro tăng giá.</w:t>
      </w:r>
    </w:p>
    <w:p>
      <w:pPr>
        <w:pStyle w:val="Heading2"/>
      </w:pPr>
      <w:r>
        <w:rPr>
          <w:rFonts w:ascii="Arial" w:hAnsi="Arial"/>
        </w:rPr>
        <w:t>2. SỐ LIỆU MỚI NHẤT (24–25/09/2026)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494"/>
            <w:shd w:fill="D9D9D9"/>
          </w:tcPr>
          <w:p>
            <w:r/>
            <w:r>
              <w:rPr>
                <w:rFonts w:ascii="Arial" w:hAnsi="Arial"/>
                <w:b/>
                <w:sz w:val="19"/>
              </w:rPr>
              <w:t>Chỉ số</w:t>
            </w:r>
          </w:p>
        </w:tc>
        <w:tc>
          <w:tcPr>
            <w:tcW w:type="dxa" w:w="3175"/>
            <w:shd w:fill="D9D9D9"/>
          </w:tcPr>
          <w:p>
            <w:r/>
            <w:r>
              <w:rPr>
                <w:rFonts w:ascii="Arial" w:hAnsi="Arial"/>
                <w:b/>
                <w:sz w:val="19"/>
              </w:rPr>
              <w:t>Mức hiện tại</w:t>
            </w:r>
          </w:p>
        </w:tc>
        <w:tc>
          <w:tcPr>
            <w:tcW w:type="dxa" w:w="2381"/>
            <w:shd w:fill="D9D9D9"/>
          </w:tcPr>
          <w:p>
            <w:r/>
            <w:r>
              <w:rPr>
                <w:rFonts w:ascii="Arial" w:hAnsi="Arial"/>
                <w:b/>
                <w:sz w:val="19"/>
              </w:rPr>
              <w:t>So với 1 tháng trước</w:t>
            </w:r>
          </w:p>
        </w:tc>
        <w:tc>
          <w:tcPr>
            <w:tcW w:type="dxa" w:w="1814"/>
            <w:shd w:fill="D9D9D9"/>
          </w:tcPr>
          <w:p>
            <w:r/>
            <w:r>
              <w:rPr>
                <w:rFonts w:ascii="Arial" w:hAnsi="Arial"/>
                <w:b/>
                <w:sz w:val="19"/>
              </w:rPr>
              <w:t>So với cùng kỳ 2025</w:t>
            </w:r>
          </w:p>
        </w:tc>
      </w:tr>
      <w:tr>
        <w:tc>
          <w:tcPr>
            <w:tcW w:type="dxa" w:w="2494"/>
          </w:tcPr>
          <w:p>
            <w:r/>
            <w:r>
              <w:rPr>
                <w:rFonts w:ascii="Arial" w:hAnsi="Arial"/>
                <w:sz w:val="19"/>
              </w:rPr>
              <w:t>Dầu Brent</w:t>
            </w:r>
          </w:p>
        </w:tc>
        <w:tc>
          <w:tcPr>
            <w:tcW w:type="dxa" w:w="3175"/>
          </w:tcPr>
          <w:p>
            <w:r/>
            <w:r>
              <w:rPr>
                <w:rFonts w:ascii="Arial" w:hAnsi="Arial"/>
                <w:sz w:val="19"/>
              </w:rPr>
              <w:t>105,68 USD/thùng (25/09/2026)</w:t>
            </w:r>
          </w:p>
        </w:tc>
        <w:tc>
          <w:tcPr>
            <w:tcW w:type="dxa" w:w="2381"/>
          </w:tcPr>
          <w:p>
            <w:r/>
            <w:r>
              <w:rPr>
                <w:rFonts w:ascii="Arial" w:hAnsi="Arial"/>
                <w:sz w:val="19"/>
              </w:rPr>
              <w:t>Tăng 21,55%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sz w:val="19"/>
              </w:rPr>
              <w:t>Tăng 52,67%</w:t>
            </w:r>
          </w:p>
        </w:tc>
      </w:tr>
      <w:tr>
        <w:tc>
          <w:tcPr>
            <w:tcW w:type="dxa" w:w="2494"/>
          </w:tcPr>
          <w:p>
            <w:r/>
            <w:r>
              <w:rPr>
                <w:rFonts w:ascii="Arial" w:hAnsi="Arial"/>
                <w:sz w:val="19"/>
              </w:rPr>
              <w:t>Dầu WTI</w:t>
            </w:r>
          </w:p>
        </w:tc>
        <w:tc>
          <w:tcPr>
            <w:tcW w:type="dxa" w:w="3175"/>
          </w:tcPr>
          <w:p>
            <w:r/>
            <w:r>
              <w:rPr>
                <w:rFonts w:ascii="Arial" w:hAnsi="Arial"/>
                <w:sz w:val="19"/>
              </w:rPr>
              <w:t>93,14 USD/thùng (25/09/2026)</w:t>
            </w:r>
          </w:p>
        </w:tc>
        <w:tc>
          <w:tcPr>
            <w:tcW w:type="dxa" w:w="2381"/>
          </w:tcPr>
          <w:p>
            <w:r/>
            <w:r>
              <w:rPr>
                <w:rFonts w:ascii="Arial" w:hAnsi="Arial"/>
                <w:sz w:val="19"/>
              </w:rPr>
              <w:t>Tăng 13,27%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sz w:val="19"/>
              </w:rPr>
              <w:t>Tăng 41,72%</w:t>
            </w:r>
          </w:p>
        </w:tc>
      </w:tr>
      <w:tr>
        <w:tc>
          <w:tcPr>
            <w:tcW w:type="dxa" w:w="2494"/>
          </w:tcPr>
          <w:p>
            <w:r/>
            <w:r>
              <w:rPr>
                <w:rFonts w:ascii="Arial" w:hAnsi="Arial"/>
                <w:sz w:val="19"/>
              </w:rPr>
              <w:t>Naphtha (châu Á)</w:t>
            </w:r>
          </w:p>
        </w:tc>
        <w:tc>
          <w:tcPr>
            <w:tcW w:type="dxa" w:w="3175"/>
          </w:tcPr>
          <w:p>
            <w:r/>
            <w:r>
              <w:rPr>
                <w:rFonts w:ascii="Arial" w:hAnsi="Arial"/>
                <w:sz w:val="19"/>
              </w:rPr>
              <w:t>838,56 USD/tấn (24/09/2026)</w:t>
            </w:r>
          </w:p>
        </w:tc>
        <w:tc>
          <w:tcPr>
            <w:tcW w:type="dxa" w:w="2381"/>
          </w:tcPr>
          <w:p>
            <w:r/>
            <w:r>
              <w:rPr>
                <w:rFonts w:ascii="Arial" w:hAnsi="Arial"/>
                <w:sz w:val="19"/>
              </w:rPr>
              <w:t>Tăng 12,75%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sz w:val="19"/>
              </w:rPr>
              <w:t>Tăng 48,68%</w:t>
            </w:r>
          </w:p>
        </w:tc>
      </w:tr>
      <w:tr>
        <w:tc>
          <w:tcPr>
            <w:tcW w:type="dxa" w:w="2494"/>
          </w:tcPr>
          <w:p>
            <w:r/>
            <w:r>
              <w:rPr>
                <w:rFonts w:ascii="Arial" w:hAnsi="Arial"/>
                <w:sz w:val="19"/>
              </w:rPr>
              <w:t>Propylene Trung Quốc</w:t>
            </w:r>
          </w:p>
        </w:tc>
        <w:tc>
          <w:tcPr>
            <w:tcW w:type="dxa" w:w="3175"/>
          </w:tcPr>
          <w:p>
            <w:r/>
            <w:r>
              <w:rPr>
                <w:rFonts w:ascii="Arial" w:hAnsi="Arial"/>
                <w:sz w:val="19"/>
              </w:rPr>
              <w:t>9.444 CNY/tấn (24/09/2026, ECHEMI)</w:t>
            </w:r>
          </w:p>
        </w:tc>
        <w:tc>
          <w:tcPr>
            <w:tcW w:type="dxa" w:w="2381"/>
          </w:tcPr>
          <w:p>
            <w:r/>
            <w:r>
              <w:rPr>
                <w:rFonts w:ascii="Arial" w:hAnsi="Arial"/>
                <w:sz w:val="19"/>
              </w:rPr>
              <w:t>Giảm nhẹ (từ 10.025 ngày 11/09)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sz w:val="19"/>
              </w:rPr>
              <w:t>Cao hơn năm 2025</w:t>
            </w:r>
          </w:p>
        </w:tc>
      </w:tr>
      <w:tr>
        <w:tc>
          <w:tcPr>
            <w:tcW w:type="dxa" w:w="2494"/>
          </w:tcPr>
          <w:p>
            <w:r/>
            <w:r>
              <w:rPr>
                <w:rFonts w:ascii="Arial" w:hAnsi="Arial"/>
                <w:sz w:val="19"/>
              </w:rPr>
              <w:t>Acid acrylic Trung Quốc</w:t>
            </w:r>
          </w:p>
        </w:tc>
        <w:tc>
          <w:tcPr>
            <w:tcW w:type="dxa" w:w="3175"/>
          </w:tcPr>
          <w:p>
            <w:r/>
            <w:r>
              <w:rPr>
                <w:rFonts w:ascii="Arial" w:hAnsi="Arial"/>
                <w:sz w:val="19"/>
              </w:rPr>
              <w:t>9.000 CNY/tấn (16/09/2026, ECHEMI); ổn định ở 4 vùng ngày 23/09</w:t>
            </w:r>
          </w:p>
        </w:tc>
        <w:tc>
          <w:tcPr>
            <w:tcW w:type="dxa" w:w="2381"/>
          </w:tcPr>
          <w:p>
            <w:r/>
            <w:r>
              <w:rPr>
                <w:rFonts w:ascii="Arial" w:hAnsi="Arial"/>
                <w:sz w:val="19"/>
              </w:rPr>
              <w:t>Giảm từ đỉnh đầu tháng 9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sz w:val="19"/>
              </w:rPr>
              <w:t>Cao hơn năm 2025</w:t>
            </w:r>
          </w:p>
        </w:tc>
      </w:tr>
      <w:tr>
        <w:tc>
          <w:tcPr>
            <w:tcW w:type="dxa" w:w="2494"/>
          </w:tcPr>
          <w:p>
            <w:r/>
            <w:r>
              <w:rPr>
                <w:rFonts w:ascii="Arial" w:hAnsi="Arial"/>
                <w:sz w:val="19"/>
              </w:rPr>
              <w:t>BPA Hoa Đông</w:t>
            </w:r>
          </w:p>
        </w:tc>
        <w:tc>
          <w:tcPr>
            <w:tcW w:type="dxa" w:w="3175"/>
          </w:tcPr>
          <w:p>
            <w:r/>
            <w:r>
              <w:rPr>
                <w:rFonts w:ascii="Arial" w:hAnsi="Arial"/>
                <w:sz w:val="19"/>
              </w:rPr>
              <w:t>11.200 CNY/tấn (20/09/2026)</w:t>
            </w:r>
          </w:p>
        </w:tc>
        <w:tc>
          <w:tcPr>
            <w:tcW w:type="dxa" w:w="2381"/>
          </w:tcPr>
          <w:p>
            <w:r/>
            <w:r>
              <w:rPr>
                <w:rFonts w:ascii="Arial" w:hAnsi="Arial"/>
                <w:sz w:val="19"/>
              </w:rPr>
              <w:t>Đi lên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sz w:val="19"/>
              </w:rPr>
              <w:t>—</w:t>
            </w:r>
          </w:p>
        </w:tc>
      </w:tr>
      <w:tr>
        <w:tc>
          <w:tcPr>
            <w:tcW w:type="dxa" w:w="2494"/>
          </w:tcPr>
          <w:p>
            <w:r/>
            <w:r>
              <w:rPr>
                <w:rFonts w:ascii="Arial" w:hAnsi="Arial"/>
                <w:sz w:val="19"/>
              </w:rPr>
              <w:t>Nhựa epoxy lỏng Hoa Đông</w:t>
            </w:r>
          </w:p>
        </w:tc>
        <w:tc>
          <w:tcPr>
            <w:tcW w:type="dxa" w:w="3175"/>
          </w:tcPr>
          <w:p>
            <w:r/>
            <w:r>
              <w:rPr>
                <w:rFonts w:ascii="Arial" w:hAnsi="Arial"/>
                <w:sz w:val="19"/>
              </w:rPr>
              <w:t>Chi phí 15.901 CNY/tấn (14/09/2026)</w:t>
            </w:r>
          </w:p>
        </w:tc>
        <w:tc>
          <w:tcPr>
            <w:tcW w:type="dxa" w:w="2381"/>
          </w:tcPr>
          <w:p>
            <w:r/>
            <w:r>
              <w:rPr>
                <w:rFonts w:ascii="Arial" w:hAnsi="Arial"/>
                <w:sz w:val="19"/>
              </w:rPr>
              <w:t>Đi lên (biên sản xuất âm)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sz w:val="19"/>
              </w:rPr>
              <w:t>—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/>
        </w:rPr>
        <w:t>3. BA DIỄN BIẾN LỚN ĐANG TÁC ĐỘNG</w:t>
      </w:r>
    </w:p>
    <w:p>
      <w:pPr>
        <w:spacing w:after="80"/>
      </w:pPr>
      <w:r>
        <w:rPr>
          <w:rFonts w:ascii="Arial" w:hAnsi="Arial"/>
          <w:b/>
          <w:sz w:val="22"/>
        </w:rPr>
        <w:t>3.1. Chiến sự – hai tuyến eo biển bị ách tắc (tác động TĂNG, mức độ lớn)</w:t>
      </w:r>
    </w:p>
    <w:p>
      <w:pPr>
        <w:spacing w:after="80"/>
      </w:pPr>
      <w:r>
        <w:rPr>
          <w:rFonts w:ascii="Arial" w:hAnsi="Arial"/>
          <w:b w:val="0"/>
          <w:sz w:val="20"/>
        </w:rPr>
        <w:t>• Eo Hormuz bị phong toả trên thực tế từ cuối tháng 2/2026 sau cuộc tấn công của Mỹ – Israel vào Iran; sản lượng vận chuyển qua eo hiện chỉ bằng khoảng MỘT NỬA mức bình thường.</w:t>
      </w:r>
    </w:p>
    <w:p>
      <w:pPr>
        <w:spacing w:after="80"/>
      </w:pPr>
      <w:r>
        <w:rPr>
          <w:rFonts w:ascii="Arial" w:hAnsi="Arial"/>
          <w:b w:val="0"/>
          <w:sz w:val="20"/>
        </w:rPr>
        <w:t>• Đàm phán mở lại eo Hormuz đã đình trệ hoàn toàn tính tới giữa tháng 9/2026. Ngày 09/09 chỉ có 6 tàu thương mại qua eo (mức bình thường là hàng chục tàu/ngày).</w:t>
      </w:r>
    </w:p>
    <w:p>
      <w:pPr>
        <w:spacing w:after="80"/>
      </w:pPr>
      <w:r>
        <w:rPr>
          <w:rFonts w:ascii="Arial" w:hAnsi="Arial"/>
          <w:b w:val="0"/>
          <w:sz w:val="20"/>
        </w:rPr>
        <w:t>• Tuyến thay thế Bab el-Mandeb ở Biển Đỏ cũng bị đe doạ: lực lượng Houthi đang củng cố kiểm soát các đảo chiến lược phía nam Biển Đỏ, khiến tuyến vòng tránh bị vô hiệu.</w:t>
      </w:r>
    </w:p>
    <w:p>
      <w:pPr>
        <w:spacing w:after="80"/>
      </w:pPr>
      <w:r>
        <w:rPr>
          <w:rFonts w:ascii="Arial" w:hAnsi="Arial"/>
          <w:b w:val="0"/>
          <w:sz w:val="20"/>
        </w:rPr>
        <w:t>• Dự trữ xăng dầu chiến lược (SPR) của Mỹ xuống mức thấp nhất kể từ năm 1982. Các định chế Phố Wall đang gán xác suất khoảng 30% cho kịch bản Brent vọt lên 150 USD/thùng.</w:t>
      </w:r>
    </w:p>
    <w:p>
      <w:pPr>
        <w:spacing w:after="80"/>
      </w:pPr>
      <w:r>
        <w:rPr>
          <w:rFonts w:ascii="Arial" w:hAnsi="Arial"/>
          <w:b w:val="0"/>
          <w:sz w:val="20"/>
        </w:rPr>
        <w:t>• IEA cho biết việc mở lại Hormuz vẫn ngoài tầm với và phục hồi hoàn toàn dòng dầu vùng Vịnh bị đẩy lùi tới năm 2027.</w:t>
      </w:r>
    </w:p>
    <w:p>
      <w:pPr>
        <w:spacing w:after="80"/>
      </w:pPr>
      <w:r>
        <w:rPr>
          <w:rFonts w:ascii="Arial" w:hAnsi="Arial"/>
          <w:b w:val="0"/>
          <w:sz w:val="20"/>
        </w:rPr>
        <w:t>• Hệ quả trực tiếp: naphtha +48,68% so cùng kỳ và còn tăng (+12,75% chỉ trong một tháng) — đây là chi phí gốc của gần như toàn bộ chuỗi hoá dầu.</w:t>
      </w:r>
    </w:p>
    <w:p>
      <w:pPr>
        <w:spacing w:after="80"/>
      </w:pPr>
      <w:r>
        <w:rPr>
          <w:rFonts w:ascii="Arial" w:hAnsi="Arial"/>
          <w:b/>
          <w:sz w:val="22"/>
        </w:rPr>
        <w:t>3.2. Chiến tranh thương mại (tác động hai chiều)</w:t>
      </w:r>
    </w:p>
    <w:p>
      <w:pPr>
        <w:spacing w:after="80"/>
      </w:pPr>
      <w:r>
        <w:rPr>
          <w:rFonts w:ascii="Arial" w:hAnsi="Arial"/>
          <w:b w:val="0"/>
          <w:sz w:val="20"/>
        </w:rPr>
        <w:t>• Mỹ – Trung Quốc: hai nguyên thủ dự họp thượng đỉnh giữa tháng 9/2026 với trọng tâm là đất hiếm; Trung Quốc tiếp tục siết xuất khẩu đất hiếm (tháng 6/2026 siết thêm 10 công ty Mỹ) → căng thẳng chưa hạ nhiệt, rủi ro gián đoạn chuỗi cung còn nguyên.</w:t>
      </w:r>
    </w:p>
    <w:p>
      <w:pPr>
        <w:spacing w:after="80"/>
      </w:pPr>
      <w:r>
        <w:rPr>
          <w:rFonts w:ascii="Arial" w:hAnsi="Arial"/>
          <w:b w:val="0"/>
          <w:sz w:val="20"/>
        </w:rPr>
        <w:t>• VIỆT NAM chịu thuế Mỹ 12,5% kể từ 24/07/2026 theo gói Section 301 (điều tra lao động cưỡng bức), thuộc nhóm cao — cùng nhóm với Trung Quốc; con số 20% thuế đối ứng trước đó đã bị Toà án Tối cao Mỹ bác tháng 2/2026. Với nội thất gỗ, tổng thuế vào Mỹ khoảng 17,5% (5% MFN + 12,5% Section 301).</w:t>
      </w:r>
    </w:p>
    <w:p>
      <w:pPr>
        <w:spacing w:after="80"/>
      </w:pPr>
      <w:r>
        <w:rPr>
          <w:rFonts w:ascii="Arial" w:hAnsi="Arial"/>
          <w:b w:val="0"/>
          <w:sz w:val="20"/>
        </w:rPr>
        <w:t>• Hệ quả cho mình: (a) ngành nội thất xuất khẩu Việt Nam bị siết biên lợi nhuận → nhu cầu sơn UV nội địa có thể chậm lại trong Q4 (yếu tố KÌM giá); (b) ngược lại, hàng Trung Quốc bị chặn ở Mỹ/EU sẽ tràn sang châu Á → nguồn cung nguyên liệu cho Việt Nam dồi dào hơn (cũng KÌM giá).</w:t>
      </w:r>
    </w:p>
    <w:p>
      <w:pPr>
        <w:spacing w:after="80"/>
      </w:pPr>
      <w:r>
        <w:rPr>
          <w:rFonts w:ascii="Arial" w:hAnsi="Arial"/>
          <w:b w:val="0"/>
          <w:sz w:val="20"/>
        </w:rPr>
        <w:t>• Thuế chống bán phá giá nhựa epoxy: EU đã áp thuế chính thức với nhựa epoxy Trung Quốc (mức cuối 17,3%, giảm từ 24,2%); Mỹ cũng điều tra chống bán phá giá/chống trợ cấp. Hệ quả: nhựa epoxy Trung Quốc bị đẩy khỏi EU/Mỹ và CHUYỂN HƯỚNG sang châu Á — đây là yếu tố làm DỊU áp lực tăng giá của nhóm B-113 (nhựa epoxy acrylate), ngược chiều với áp lực từ dầu.</w:t>
      </w:r>
    </w:p>
    <w:p>
      <w:pPr>
        <w:spacing w:after="80"/>
      </w:pPr>
      <w:r>
        <w:rPr>
          <w:rFonts w:ascii="Arial" w:hAnsi="Arial"/>
          <w:b/>
          <w:sz w:val="22"/>
        </w:rPr>
        <w:t>3.3. Vì sao giá hoá chất Trung Quốc chưa tăng theo dầu</w:t>
      </w:r>
    </w:p>
    <w:p>
      <w:pPr>
        <w:spacing w:after="80"/>
      </w:pPr>
      <w:r>
        <w:rPr>
          <w:rFonts w:ascii="Arial" w:hAnsi="Arial"/>
          <w:b w:val="0"/>
          <w:sz w:val="20"/>
        </w:rPr>
        <w:t>• Cơ cấu nguyên liệu: propylene Trung Quốc phần lớn từ than (CTO/MTO) và PDH (dùng propane), không phải naphtha — nên độ truyền dẫn từ dầu bị trễ và yếu hơn so với châu Âu, Hàn, Nhật.</w:t>
      </w:r>
    </w:p>
    <w:p>
      <w:pPr>
        <w:spacing w:after="80"/>
      </w:pPr>
      <w:r>
        <w:rPr>
          <w:rFonts w:ascii="Arial" w:hAnsi="Arial"/>
          <w:b w:val="0"/>
          <w:sz w:val="20"/>
        </w:rPr>
        <w:t>• Dư cung nội địa Trung Quốc vẫn lớn: chỉ số giá sản phẩm hoá chất Trung Quốc đã giảm 3 năm liên tiếp (~36%); năm 2026 tăng trưởng sản xuất hoá chất chỉ khoảng 1,3%.</w:t>
      </w:r>
    </w:p>
    <w:p>
      <w:pPr>
        <w:spacing w:after="80"/>
      </w:pPr>
      <w:r>
        <w:rPr>
          <w:rFonts w:ascii="Arial" w:hAnsi="Arial"/>
          <w:b w:val="0"/>
          <w:sz w:val="20"/>
        </w:rPr>
        <w:t>• Thực tế tháng 9/2026: propylene 9.444 CNY/tấn (24/09) và acid acrylic 9.000 CNY/tấn (16/09) — đi ngang/giảm nhẹ DÙ dầu tăng mạnh.</w:t>
      </w:r>
    </w:p>
    <w:p>
      <w:pPr>
        <w:spacing w:after="80"/>
      </w:pPr>
      <w:r>
        <w:rPr>
          <w:rFonts w:ascii="Arial" w:hAnsi="Arial"/>
          <w:b w:val="0"/>
          <w:sz w:val="20"/>
        </w:rPr>
        <w:t>• Cảnh báo: nếu dầu giữ trên 100 USD đến hết quý 4, chi phí propane/than và cước vận tải sẽ dần dội vào propylene – acid acrylic – monomer, và quan trọng nhất là vào nhóm NGUYÊN LIỆU NHẬP KHẨU cao cấp (oligomer acrylate, diluent, photoinitiator) mà mình đang mua.</w:t>
      </w:r>
    </w:p>
    <w:p>
      <w:pPr>
        <w:pStyle w:val="Heading2"/>
      </w:pPr>
      <w:r>
        <w:rPr>
          <w:rFonts w:ascii="Arial" w:hAnsi="Arial"/>
        </w:rPr>
        <w:t>4. KẾT LUẬN PHÂN TÍCH LẠI (thay đổi so với V1)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2041"/>
            <w:shd w:fill="D9D9D9"/>
          </w:tcPr>
          <w:p>
            <w:r/>
            <w:r>
              <w:rPr>
                <w:rFonts w:ascii="Arial" w:hAnsi="Arial"/>
                <w:b/>
                <w:sz w:val="19"/>
              </w:rPr>
              <w:t>Nội dung</w:t>
            </w:r>
          </w:p>
        </w:tc>
        <w:tc>
          <w:tcPr>
            <w:tcW w:type="dxa" w:w="2608"/>
            <w:shd w:fill="D9D9D9"/>
          </w:tcPr>
          <w:p>
            <w:r/>
            <w:r>
              <w:rPr>
                <w:rFonts w:ascii="Arial" w:hAnsi="Arial"/>
                <w:b/>
                <w:sz w:val="19"/>
              </w:rPr>
              <w:t>Bản V1 (sáng 25/09)</w:t>
            </w:r>
          </w:p>
        </w:tc>
        <w:tc>
          <w:tcPr>
            <w:tcW w:type="dxa" w:w="5102"/>
            <w:shd w:fill="D9D9D9"/>
          </w:tcPr>
          <w:p>
            <w:r/>
            <w:r>
              <w:rPr>
                <w:rFonts w:ascii="Arial" w:hAnsi="Arial"/>
                <w:b/>
                <w:sz w:val="19"/>
              </w:rPr>
              <w:t>Bản V2 (cập nhật theo dầu – chiến sự – thương chiến)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Arial" w:hAnsi="Arial"/>
                <w:sz w:val="19"/>
              </w:rPr>
              <w:t>Xác suất tăng giá 3 tháng tới</w:t>
            </w:r>
          </w:p>
        </w:tc>
        <w:tc>
          <w:tcPr>
            <w:tcW w:type="dxa" w:w="2608"/>
          </w:tcPr>
          <w:p>
            <w:r/>
            <w:r>
              <w:rPr>
                <w:rFonts w:ascii="Arial" w:hAnsi="Arial"/>
                <w:sz w:val="19"/>
              </w:rPr>
              <w:t>35%</w:t>
            </w:r>
          </w:p>
        </w:tc>
        <w:tc>
          <w:tcPr>
            <w:tcW w:type="dxa" w:w="5102"/>
          </w:tcPr>
          <w:p>
            <w:r/>
            <w:r>
              <w:rPr>
                <w:rFonts w:ascii="Arial" w:hAnsi="Arial"/>
                <w:sz w:val="19"/>
              </w:rPr>
              <w:t>45% (nâng lên)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Arial" w:hAnsi="Arial"/>
                <w:sz w:val="19"/>
              </w:rPr>
              <w:t>Biên độ tăng nếu xảy ra</w:t>
            </w:r>
          </w:p>
        </w:tc>
        <w:tc>
          <w:tcPr>
            <w:tcW w:type="dxa" w:w="2608"/>
          </w:tcPr>
          <w:p>
            <w:r/>
            <w:r>
              <w:rPr>
                <w:rFonts w:ascii="Arial" w:hAnsi="Arial"/>
                <w:sz w:val="19"/>
              </w:rPr>
              <w:t>+5 – 10%</w:t>
            </w:r>
          </w:p>
        </w:tc>
        <w:tc>
          <w:tcPr>
            <w:tcW w:type="dxa" w:w="5102"/>
          </w:tcPr>
          <w:p>
            <w:r/>
            <w:r>
              <w:rPr>
                <w:rFonts w:ascii="Arial" w:hAnsi="Arial"/>
                <w:sz w:val="19"/>
              </w:rPr>
              <w:t>+7 – 15% (rộng hơn do biến động dầu)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Arial" w:hAnsi="Arial"/>
                <w:sz w:val="19"/>
              </w:rPr>
              <w:t>Nhóm tăng mạnh nhất</w:t>
            </w:r>
          </w:p>
        </w:tc>
        <w:tc>
          <w:tcPr>
            <w:tcW w:type="dxa" w:w="2608"/>
          </w:tcPr>
          <w:p>
            <w:r/>
            <w:r>
              <w:rPr>
                <w:rFonts w:ascii="Arial" w:hAnsi="Arial"/>
                <w:sz w:val="19"/>
              </w:rPr>
              <w:t>B-113 (nhựa epoxy)</w:t>
            </w:r>
          </w:p>
        </w:tc>
        <w:tc>
          <w:tcPr>
            <w:tcW w:type="dxa" w:w="5102"/>
          </w:tcPr>
          <w:p>
            <w:r/>
            <w:r>
              <w:rPr>
                <w:rFonts w:ascii="Arial" w:hAnsi="Arial"/>
                <w:sz w:val="19"/>
              </w:rPr>
              <w:t>TMPTA và HDDA (chịu chi phí gốc hoá dầu) — B-113 được DỊU bớt nhờ epoxy Trung Quốc chuyển hướng khỏi EU/Mỹ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Arial" w:hAnsi="Arial"/>
                <w:sz w:val="19"/>
              </w:rPr>
              <w:t>Thời gian kéo dài</w:t>
            </w:r>
          </w:p>
        </w:tc>
        <w:tc>
          <w:tcPr>
            <w:tcW w:type="dxa" w:w="2608"/>
          </w:tcPr>
          <w:p>
            <w:r/>
            <w:r>
              <w:rPr>
                <w:rFonts w:ascii="Arial" w:hAnsi="Arial"/>
                <w:sz w:val="19"/>
              </w:rPr>
              <w:t>1 quý, hạ nhiệt từ tháng 3/2027</w:t>
            </w:r>
          </w:p>
        </w:tc>
        <w:tc>
          <w:tcPr>
            <w:tcW w:type="dxa" w:w="5102"/>
          </w:tcPr>
          <w:p>
            <w:r/>
            <w:r>
              <w:rPr>
                <w:rFonts w:ascii="Arial" w:hAnsi="Arial"/>
                <w:sz w:val="19"/>
              </w:rPr>
              <w:t>Có thể kéo dài tới HẾT QUÝ 1/2027 (IEA: phục hồi dòng dầu vùng Vịnh lùi tới 2027), hạ nhiệt khi Hormuz mở lại hoặc dầu về dưới 90 USD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Arial" w:hAnsi="Arial"/>
                <w:sz w:val="19"/>
              </w:rPr>
              <w:t>Rủi ro đuôi (tail risk)</w:t>
            </w:r>
          </w:p>
        </w:tc>
        <w:tc>
          <w:tcPr>
            <w:tcW w:type="dxa" w:w="2608"/>
          </w:tcPr>
          <w:p>
            <w:r/>
            <w:r>
              <w:rPr>
                <w:rFonts w:ascii="Arial" w:hAnsi="Arial"/>
                <w:sz w:val="19"/>
              </w:rPr>
              <w:t>Chưa nêu</w:t>
            </w:r>
          </w:p>
        </w:tc>
        <w:tc>
          <w:tcPr>
            <w:tcW w:type="dxa" w:w="5102"/>
          </w:tcPr>
          <w:p>
            <w:r/>
            <w:r>
              <w:rPr>
                <w:rFonts w:ascii="Arial" w:hAnsi="Arial"/>
                <w:sz w:val="19"/>
              </w:rPr>
              <w:t>Kịch bản Brent 150 USD/thùng (Phố Wall gán ~30%) → monomer có thể tăng 15–25%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/>
        </w:rPr>
        <w:t>5. DỰ BÁO GIÁ MUA TẠI VIỆT NAM (VND/kg, chưa VAT)</w:t>
      </w:r>
    </w:p>
    <w:p>
      <w:pPr>
        <w:spacing w:after="80"/>
      </w:pPr>
      <w:r>
        <w:rPr>
          <w:rFonts w:ascii="Arial" w:hAnsi="Arial"/>
          <w:b w:val="0"/>
          <w:sz w:val="19"/>
        </w:rPr>
        <w:t>Mốc so sánh: giá tốt nhất đang có — TPGDA 55.000 (Nuplex 08/09) · TMPTA 65.000 (Nuplex 08/09) · HDDA 67.000 (Nuplex 08/09) · B-113 59.124 (FCL 07/09).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c>
          <w:tcPr>
            <w:tcW w:type="dxa" w:w="1020"/>
            <w:shd w:fill="D9D9D9"/>
          </w:tcPr>
          <w:p>
            <w:r/>
            <w:r>
              <w:rPr>
                <w:rFonts w:ascii="Arial" w:hAnsi="Arial"/>
                <w:b/>
                <w:sz w:val="20"/>
              </w:rPr>
              <w:t>Mã</w:t>
            </w:r>
          </w:p>
        </w:tc>
        <w:tc>
          <w:tcPr>
            <w:tcW w:type="dxa" w:w="1361"/>
            <w:shd w:fill="D9D9D9"/>
          </w:tcPr>
          <w:p>
            <w:r/>
            <w:r>
              <w:rPr>
                <w:rFonts w:ascii="Arial" w:hAnsi="Arial"/>
                <w:b/>
                <w:sz w:val="20"/>
              </w:rPr>
              <w:t>Hiện tại</w:t>
            </w:r>
          </w:p>
        </w:tc>
        <w:tc>
          <w:tcPr>
            <w:tcW w:type="dxa" w:w="2494"/>
            <w:shd w:fill="D9D9D9"/>
          </w:tcPr>
          <w:p>
            <w:r/>
            <w:r>
              <w:rPr>
                <w:rFonts w:ascii="Arial" w:hAnsi="Arial"/>
                <w:b/>
                <w:sz w:val="20"/>
              </w:rPr>
              <w:t>TĂNG – 45%</w:t>
            </w:r>
          </w:p>
        </w:tc>
        <w:tc>
          <w:tcPr>
            <w:tcW w:type="dxa" w:w="2494"/>
            <w:shd w:fill="D9D9D9"/>
          </w:tcPr>
          <w:p>
            <w:r/>
            <w:r>
              <w:rPr>
                <w:rFonts w:ascii="Arial" w:hAnsi="Arial"/>
                <w:b/>
                <w:sz w:val="20"/>
              </w:rPr>
              <w:t>CƠ SỞ – 35%</w:t>
            </w:r>
          </w:p>
        </w:tc>
        <w:tc>
          <w:tcPr>
            <w:tcW w:type="dxa" w:w="2494"/>
            <w:shd w:fill="D9D9D9"/>
          </w:tcPr>
          <w:p>
            <w:r/>
            <w:r>
              <w:rPr>
                <w:rFonts w:ascii="Arial" w:hAnsi="Arial"/>
                <w:b/>
                <w:sz w:val="20"/>
              </w:rPr>
              <w:t>GIẢM – 20%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Arial" w:hAnsi="Arial"/>
                <w:sz w:val="20"/>
              </w:rPr>
              <w:t>TPGDA</w:t>
            </w:r>
          </w:p>
        </w:tc>
        <w:tc>
          <w:tcPr>
            <w:tcW w:type="dxa" w:w="1361"/>
          </w:tcPr>
          <w:p>
            <w:r/>
            <w:r>
              <w:rPr>
                <w:rFonts w:ascii="Arial" w:hAnsi="Arial"/>
                <w:sz w:val="20"/>
              </w:rPr>
              <w:t>55.000</w:t>
            </w:r>
          </w:p>
        </w:tc>
        <w:tc>
          <w:tcPr>
            <w:tcW w:type="dxa" w:w="2494"/>
          </w:tcPr>
          <w:p>
            <w:r/>
            <w:r>
              <w:rPr>
                <w:rFonts w:ascii="Arial" w:hAnsi="Arial"/>
                <w:sz w:val="20"/>
              </w:rPr>
              <w:t>58.500 – 63.000</w:t>
            </w:r>
          </w:p>
        </w:tc>
        <w:tc>
          <w:tcPr>
            <w:tcW w:type="dxa" w:w="2494"/>
          </w:tcPr>
          <w:p>
            <w:r/>
            <w:r>
              <w:rPr>
                <w:rFonts w:ascii="Arial" w:hAnsi="Arial"/>
                <w:sz w:val="20"/>
              </w:rPr>
              <w:t>53.500 – 56.500</w:t>
            </w:r>
          </w:p>
        </w:tc>
        <w:tc>
          <w:tcPr>
            <w:tcW w:type="dxa" w:w="2494"/>
          </w:tcPr>
          <w:p>
            <w:r/>
            <w:r>
              <w:rPr>
                <w:rFonts w:ascii="Arial" w:hAnsi="Arial"/>
                <w:sz w:val="20"/>
              </w:rPr>
              <w:t>51.500 – 53.500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Arial" w:hAnsi="Arial"/>
                <w:sz w:val="20"/>
              </w:rPr>
              <w:t>TMPTA</w:t>
            </w:r>
          </w:p>
        </w:tc>
        <w:tc>
          <w:tcPr>
            <w:tcW w:type="dxa" w:w="1361"/>
          </w:tcPr>
          <w:p>
            <w:r/>
            <w:r>
              <w:rPr>
                <w:rFonts w:ascii="Arial" w:hAnsi="Arial"/>
                <w:sz w:val="20"/>
              </w:rPr>
              <w:t>65.000</w:t>
            </w:r>
          </w:p>
        </w:tc>
        <w:tc>
          <w:tcPr>
            <w:tcW w:type="dxa" w:w="2494"/>
          </w:tcPr>
          <w:p>
            <w:r/>
            <w:r>
              <w:rPr>
                <w:rFonts w:ascii="Arial" w:hAnsi="Arial"/>
                <w:sz w:val="20"/>
              </w:rPr>
              <w:t>69.500 – 74.500</w:t>
            </w:r>
          </w:p>
        </w:tc>
        <w:tc>
          <w:tcPr>
            <w:tcW w:type="dxa" w:w="2494"/>
          </w:tcPr>
          <w:p>
            <w:r/>
            <w:r>
              <w:rPr>
                <w:rFonts w:ascii="Arial" w:hAnsi="Arial"/>
                <w:sz w:val="20"/>
              </w:rPr>
              <w:t>63.000 – 67.000</w:t>
            </w:r>
          </w:p>
        </w:tc>
        <w:tc>
          <w:tcPr>
            <w:tcW w:type="dxa" w:w="2494"/>
          </w:tcPr>
          <w:p>
            <w:r/>
            <w:r>
              <w:rPr>
                <w:rFonts w:ascii="Arial" w:hAnsi="Arial"/>
                <w:sz w:val="20"/>
              </w:rPr>
              <w:t>61.000 – 63.500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Arial" w:hAnsi="Arial"/>
                <w:sz w:val="20"/>
              </w:rPr>
              <w:t>HDDA</w:t>
            </w:r>
          </w:p>
        </w:tc>
        <w:tc>
          <w:tcPr>
            <w:tcW w:type="dxa" w:w="1361"/>
          </w:tcPr>
          <w:p>
            <w:r/>
            <w:r>
              <w:rPr>
                <w:rFonts w:ascii="Arial" w:hAnsi="Arial"/>
                <w:sz w:val="20"/>
              </w:rPr>
              <w:t>67.000</w:t>
            </w:r>
          </w:p>
        </w:tc>
        <w:tc>
          <w:tcPr>
            <w:tcW w:type="dxa" w:w="2494"/>
          </w:tcPr>
          <w:p>
            <w:r/>
            <w:r>
              <w:rPr>
                <w:rFonts w:ascii="Arial" w:hAnsi="Arial"/>
                <w:sz w:val="20"/>
              </w:rPr>
              <w:t>71.500 – 77.000</w:t>
            </w:r>
          </w:p>
        </w:tc>
        <w:tc>
          <w:tcPr>
            <w:tcW w:type="dxa" w:w="2494"/>
          </w:tcPr>
          <w:p>
            <w:r/>
            <w:r>
              <w:rPr>
                <w:rFonts w:ascii="Arial" w:hAnsi="Arial"/>
                <w:sz w:val="20"/>
              </w:rPr>
              <w:t>65.000 – 69.000</w:t>
            </w:r>
          </w:p>
        </w:tc>
        <w:tc>
          <w:tcPr>
            <w:tcW w:type="dxa" w:w="2494"/>
          </w:tcPr>
          <w:p>
            <w:r/>
            <w:r>
              <w:rPr>
                <w:rFonts w:ascii="Arial" w:hAnsi="Arial"/>
                <w:sz w:val="20"/>
              </w:rPr>
              <w:t>63.000 – 65.500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Arial" w:hAnsi="Arial"/>
                <w:sz w:val="20"/>
              </w:rPr>
              <w:t>B-113</w:t>
            </w:r>
          </w:p>
        </w:tc>
        <w:tc>
          <w:tcPr>
            <w:tcW w:type="dxa" w:w="1361"/>
          </w:tcPr>
          <w:p>
            <w:r/>
            <w:r>
              <w:rPr>
                <w:rFonts w:ascii="Arial" w:hAnsi="Arial"/>
                <w:sz w:val="20"/>
              </w:rPr>
              <w:t>59.124</w:t>
            </w:r>
          </w:p>
        </w:tc>
        <w:tc>
          <w:tcPr>
            <w:tcW w:type="dxa" w:w="2494"/>
          </w:tcPr>
          <w:p>
            <w:r/>
            <w:r>
              <w:rPr>
                <w:rFonts w:ascii="Arial" w:hAnsi="Arial"/>
                <w:sz w:val="20"/>
              </w:rPr>
              <w:t>63.000 – 68.000</w:t>
            </w:r>
          </w:p>
        </w:tc>
        <w:tc>
          <w:tcPr>
            <w:tcW w:type="dxa" w:w="2494"/>
          </w:tcPr>
          <w:p>
            <w:r/>
            <w:r>
              <w:rPr>
                <w:rFonts w:ascii="Arial" w:hAnsi="Arial"/>
                <w:sz w:val="20"/>
              </w:rPr>
              <w:t>58.000 – 61.000</w:t>
            </w:r>
          </w:p>
        </w:tc>
        <w:tc>
          <w:tcPr>
            <w:tcW w:type="dxa" w:w="2494"/>
          </w:tcPr>
          <w:p>
            <w:r/>
            <w:r>
              <w:rPr>
                <w:rFonts w:ascii="Arial" w:hAnsi="Arial"/>
                <w:sz w:val="20"/>
              </w:rPr>
              <w:t>55.500 – 57.500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/>
        </w:rPr>
        <w:t>6. KHUYẾN NGHỊ (đã điều chỉnh)</w:t>
      </w:r>
    </w:p>
    <w:p>
      <w:pPr>
        <w:spacing w:after="80"/>
      </w:pPr>
      <w:r>
        <w:rPr>
          <w:rFonts w:ascii="Arial" w:hAnsi="Arial"/>
          <w:b w:val="0"/>
          <w:sz w:val="20"/>
        </w:rPr>
        <w:t>1. MUA NGAY trong tuần 29/09 – 02/10, không chờ: nâng lượng ghim từ 2–2,5 tháng lên 3 THÁNG nhu cầu cho cả 4 mã (nếu kho chứa được). Bắt buộc xong trước kỳ nghỉ Quốc khánh Trung Quốc 01–07/10.</w:t>
      </w:r>
    </w:p>
    <w:p>
      <w:pPr>
        <w:spacing w:after="80"/>
      </w:pPr>
      <w:r>
        <w:rPr>
          <w:rFonts w:ascii="Arial" w:hAnsi="Arial"/>
          <w:b w:val="0"/>
          <w:sz w:val="20"/>
        </w:rPr>
        <w:t>2. Yêu cầu cam kết giá 60–90 ngày bằng văn bản với Nuplex (đang là giá tốt nhất). Không ký giá cố định dài 6–12 tháng ở vùng giá hiện tại.</w:t>
      </w:r>
    </w:p>
    <w:p>
      <w:pPr>
        <w:spacing w:after="80"/>
      </w:pPr>
      <w:r>
        <w:rPr>
          <w:rFonts w:ascii="Arial" w:hAnsi="Arial"/>
          <w:b w:val="0"/>
          <w:sz w:val="20"/>
        </w:rPr>
        <w:t>3. B-113: đàm phán với ÍT NHẤT 2 nguồn trước khi chốt FCL — vì nhựa epoxy Trung Quốc đang bị EU/Mỹ chặn nên nguồn chuyển sang châu Á có thể chào giá tốt hơn; nhưng vẫn phải xong trước 31/10.</w:t>
      </w:r>
    </w:p>
    <w:p>
      <w:pPr>
        <w:spacing w:after="80"/>
      </w:pPr>
      <w:r>
        <w:rPr>
          <w:rFonts w:ascii="Arial" w:hAnsi="Arial"/>
          <w:b w:val="0"/>
          <w:sz w:val="20"/>
        </w:rPr>
        <w:t>4. Theo dõi hằng tuần, ngưỡng hành động: Brent vượt 110 USD/thùng → chốt thêm ngay (giá sẽ theo sau 4–8 tuần); Brent dưới 95 USD → tạm dừng mua thêm, đàm phán giảm; propylene Trung Quốc vượt 9.800 CNY/tấn → chốt sớm; naphtha vượt 850 USD/tấn → rà lại giá nhập khẩu.</w:t>
      </w:r>
    </w:p>
    <w:p>
      <w:pPr>
        <w:spacing w:after="80"/>
      </w:pPr>
      <w:r>
        <w:rPr>
          <w:rFonts w:ascii="Arial" w:hAnsi="Arial"/>
          <w:b w:val="0"/>
          <w:sz w:val="20"/>
        </w:rPr>
        <w:t>5. Chuẩn bị kịch bản xấu: nếu Brent lên 150 USD/thùng, nguyên liệu UV có thể tăng 15–25% — cần sẵn phương án (a) tồn kho an toàn 3 tháng, (b) công thức thay thế bớt tỉ lệ monomer đắt, (c) điều khoản chia sẻ chi phí với khách hàng.</w:t>
      </w:r>
    </w:p>
    <w:p>
      <w:pPr>
        <w:spacing w:after="80"/>
      </w:pPr>
      <w:r>
        <w:rPr>
          <w:rFonts w:ascii="Arial" w:hAnsi="Arial"/>
          <w:b w:val="0"/>
          <w:sz w:val="20"/>
        </w:rPr>
        <w:t>6. Về phía cầu: theo dõi thuế 12,5% của Mỹ với hàng Việt Nam — nếu đơn hàng nội thất xuất khẩu giảm trong Q4 thì nhu cầu sơn UV nội địa cũng giảm, khi đó không nên tích trữ quá mức.</w:t>
      </w:r>
    </w:p>
    <w:p>
      <w:pPr>
        <w:pStyle w:val="Heading2"/>
      </w:pPr>
      <w:r>
        <w:rPr>
          <w:rFonts w:ascii="Arial" w:hAnsi="Arial"/>
        </w:rPr>
        <w:t>7. NGUỒN &amp; ĐIỂM CHƯA CHẮC</w:t>
      </w:r>
    </w:p>
    <w:p>
      <w:pPr>
        <w:spacing w:after="80"/>
      </w:pPr>
      <w:r>
        <w:rPr>
          <w:rFonts w:ascii="Arial" w:hAnsi="Arial"/>
          <w:b w:val="0"/>
          <w:sz w:val="19"/>
        </w:rPr>
        <w:t>• Nguồn mới nhất: Trading Economics (giá Brent 105,68 USD ngày 25/09; WTI 93,14; naphtha 838,56 USD/tấn ngày 24/09); Discovery Alert (09/2026 — Hormuz còn một nửa công suất, SPR thấp nhất từ 1982, xác suất 30% cho kịch bản 150 USD); Forbes (13/09/2026 — tuyến vòng tránh Hormuz bị đe doạ); IEA (Oil Market Report 09/2026 — phục hồi lùi tới 2027); OPEC+/worldoil/CNBC (02/08/2026 — tăng 188.000 thùng/ngày, hoàn tất đảo ngược cắt giảm 2023); ECHEMI (propylene 9.444 CNY/tấn 24/09; acid acrylic 9.000 CNY/tấn 16/09 và ổn định 23/09); chempricehub (propylene 20/09 và 17/09; acid acrylic 20/09 và 18–24/09); TCBS Research (24/07/2026 — Việt Nam 12,5% Section 301); Reuters/NYT (21/09/2026 — thượng đỉnh Mỹ–Trung về đất hiếm); plastmatch/EUR-Lex (thuế chống bán phá giá nhựa epoxy Trung Quốc, EU mức cuối 17,3%).</w:t>
      </w:r>
    </w:p>
    <w:p>
      <w:pPr>
        <w:spacing w:after="80"/>
      </w:pPr>
      <w:r>
        <w:rPr>
          <w:rFonts w:ascii="Arial" w:hAnsi="Arial"/>
          <w:b w:val="0"/>
          <w:sz w:val="19"/>
        </w:rPr>
        <w:t>• CHƯA CHẮC: (a) bài của Blooming Global dự báo Brent 80–90 USD là bản cũ hơn (tháng 8) và đã bị thực tế vượt qua — em KHÔNG dùng làm cơ sở; (b) số propylene/acid acrylic Trung Quốc lấy từ ECHEMI là giá tham chiếu sàn, có thể lệch với giá hợp đồng; (c) mức độ truyền dẫn từ dầu sang propylene Trung Quốc còn phụ thuộc giá than và propane — chưa có số liệu propane cập nhật trong bản này; (d) dữ liệu giá Trung Quốc sẽ NGỪNG cập nhật trong 25–27/09 (Trung thu) và 01–07/10 (Quốc khánh).</w:t>
      </w:r>
    </w:p>
    <w:p>
      <w:pPr>
        <w:spacing w:after="80"/>
      </w:pPr>
      <w:r>
        <w:rPr>
          <w:rFonts w:ascii="Arial" w:hAnsi="Arial"/>
          <w:b w:val="0"/>
          <w:sz w:val="19"/>
        </w:rPr>
        <w:t>• Kết luận V2 này thay thế phần “độ dài xu hướng” đã trả lời trước đó: xu hướng tăng có thể KÉO DÀI ĐẾN HẾT QUÝ 1/2027, không còn giới hạn trong 1 quý.</w:t>
      </w:r>
    </w:p>
    <w:sectPr w:rsidR="00FC693F" w:rsidRPr="0006063C" w:rsidSect="00034616">
      <w:pgSz w:w="11906" w:h="16838"/>
      <w:pgMar w:top="1020" w:right="907" w:bottom="102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