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2"/>
        </w:rPr>
        <w:t>SỨC MUA TIÊU DÙNG ĐẾN CUỐI 2026</w:t>
      </w:r>
    </w:p>
    <w:p>
      <w:pPr>
        <w:spacing w:after="40"/>
        <w:jc w:val="center"/>
      </w:pPr>
      <w:r>
        <w:rPr>
          <w:b/>
          <w:i w:val="0"/>
          <w:sz w:val="22"/>
        </w:rPr>
        <w:t>3 thị trường trọng điểm của Việt Nam: Mỹ · Châu Âu (EU) · Úc — góc nhìn ngành sơn gỗ/nội thất xuất khẩu</w:t>
      </w:r>
    </w:p>
    <w:p>
      <w:pPr>
        <w:spacing w:after="200"/>
        <w:jc w:val="center"/>
      </w:pPr>
      <w:r>
        <w:rPr>
          <w:b w:val="0"/>
          <w:i w:val="0"/>
          <w:sz w:val="18"/>
        </w:rPr>
        <w:t>BT-Chem · 27/08/2026 · Tổng hợp 2 agent (Heo Heo: EU &amp; Úc; Trợ Lý Home: Mỹ &amp; tổng hợp)</w:t>
      </w:r>
    </w:p>
    <w:p>
      <w:pPr>
        <w:spacing w:after="80"/>
      </w:pPr>
      <w:r>
        <w:rPr>
          <w:b/>
          <w:i w:val="0"/>
          <w:sz w:val="26"/>
        </w:rPr>
        <w:t>1. THỊ TRƯỜNG MỸ (Trợ Lý Home)</w:t>
      </w:r>
    </w:p>
    <w:p>
      <w:pPr>
        <w:pStyle w:val="ListBullet"/>
        <w:spacing w:after="40"/>
      </w:pPr>
      <w:r>
        <w:t>Tiêu dùng vẫn dai sức: chi tiêu tiêu dùng Q2/2026 đạt 16.817,9 tỷ USD (+0,8% so Q1); doanh số bán lẻ tăng tháng thứ 10 liên tiếp (7/2026), tháng 6 tăng 0,2% (BEA, ClaritX, Axios).</w:t>
      </w:r>
    </w:p>
    <w:p>
      <w:pPr>
        <w:pStyle w:val="ListBullet"/>
        <w:spacing w:after="40"/>
      </w:pPr>
      <w:r>
        <w:t>Deloitte (8/2026): ý định chi tiêu tăng ở cả nhóm thiết yếu lẫn không thiết yếu; tài chính hộ gia đình ổn định, cao hơn cùng kỳ năm trước.</w:t>
      </w:r>
    </w:p>
    <w:p>
      <w:pPr>
        <w:pStyle w:val="ListBullet"/>
        <w:spacing w:after="40"/>
      </w:pPr>
      <w:r>
        <w:t>NHƯNG sức mua có vết rạn: kỳ vọng lạm phát 1 năm là 4,3% (tăng từ 4,2%), 5 năm 3,3%; chỉ 8% người tiêu dùng tin thu nhập sẽ tăng nhanh hơn lạm phát (US Bank) → người Mỹ dần thắt chặt chi tiêu lớn.</w:t>
      </w:r>
    </w:p>
    <w:p>
      <w:pPr>
        <w:pStyle w:val="ListBullet"/>
        <w:spacing w:after="40"/>
      </w:pPr>
      <w:r>
        <w:t>Nhà ở &amp; nội thất: Realtor.com dự báo khả năng mua nhà cải thiện nhẹ 2026 (lãi suất ổn định, thu nhập tăng nhanh hơn lạm phát); tín hiệu trái chiều (nhà cũ +1,7% MoM, nhà mới -11,3% YoY); dự báo doanh số nhà +13% năm 2026.</w:t>
      </w:r>
    </w:p>
    <w:p>
      <w:pPr>
        <w:pStyle w:val="ListBullet"/>
        <w:spacing w:after="40"/>
      </w:pPr>
      <w:r>
        <w:t>Thị trường nội thất Mỹ: 130,57 tỷ USD (2026) → 157,2 tỷ USD (2031), CAGR 3,78% (Mordor); người mua chọn lọc hơn với hàng đắt tiền, chuộng giá trị, bền bỉ, đa thế hệ + nhà thông minh.</w:t>
      </w:r>
    </w:p>
    <w:p>
      <w:pPr>
        <w:pStyle w:val="ListBullet"/>
        <w:spacing w:after="40"/>
      </w:pPr>
      <w:r>
        <w:t>Gỗ VN sang Mỹ: vẫn là thị trường số 1 nhưng Q1/2026 xuất sang Mỹ YẾU hơn (Trung Quốc + EU bù lại); kỳ vọng thuế giảm + lãi suất hạ + nhà ở mạnh hơn sẽ hỗ trợ nhu cầu nội thất (Piper Sandler).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2. THỊ TRƯỜNG CHÂU ÂU — EU (Heo Heo)</w:t>
      </w:r>
    </w:p>
    <w:p>
      <w:pPr>
        <w:pStyle w:val="ListBullet"/>
        <w:spacing w:after="40"/>
      </w:pPr>
      <w:r>
        <w:t>Doanh số bán lẻ EU +1,2% YoY (6/2026) nhưng hàng PHI THỰC PHẨM giảm -0,9% (4/2026) — hàng lâu bền/không thiết yếu (trong đó nội thất, đồ gỗ) đang bị cắt giảm; dự báo cả năm dưới 3%.</w:t>
      </w:r>
    </w:p>
    <w:p>
      <w:pPr>
        <w:pStyle w:val="ListBullet"/>
        <w:spacing w:after="40"/>
      </w:pPr>
      <w:r>
        <w:t>Niềm tin tiêu dùng Eurozone cải thiện 3 tháng liên tiếp lên -15,9 (7/2026) nhưng vẫn sâu dưới mức trung tính 0 — hồi phục nhưng chưa lạc quan.</w:t>
      </w:r>
    </w:p>
    <w:p>
      <w:pPr>
        <w:pStyle w:val="ListBullet"/>
        <w:spacing w:after="40"/>
      </w:pPr>
      <w:r>
        <w:t>Lạm phát dự báo bình quân 3,0% năm 2026 (đẩy lên bởi xung đột Trung Đông &amp; giá năng lượng), hạ về 2,3% (2027), 2,0% (2028); ECB giữ lãi suất, thị trường định giá ~70% khả năng TĂNG lãi tháng 9/2026; CBRE dự báo không còn cắt lãi suất năm nay.</w:t>
      </w:r>
    </w:p>
    <w:p>
      <w:pPr>
        <w:pStyle w:val="ListBullet"/>
        <w:spacing w:after="40"/>
      </w:pPr>
      <w:r>
        <w:t>BĐS: chuyển sang lạc quan dè dặt; phân khúc data centre + nhà ở mạnh, tiền thuê tiếp tục tăng; mua nhà mới vẫn bị kìm bởi lãi suất cao.</w:t>
      </w:r>
    </w:p>
    <w:p>
      <w:pPr>
        <w:pStyle w:val="ListBullet"/>
        <w:spacing w:after="40"/>
      </w:pPr>
      <w:r>
        <w:t>🔥 Gỗ VN sang EU BÙNG NỔ: 7 tháng đầu năm XK gỗ VN vượt 10,2 tỷ USD (+5,6%), riêng Hà Lan +104%, Đức +47% — động cơ tăng trưởng mới của ngành gỗ; EVFTA đưa thuế nội thất về 0% năm 2026; thị trường nội thất châu Âu 277 tỷ USD (2026) → 358 tỷ USD (2031).</w:t>
      </w:r>
    </w:p>
    <w:p>
      <w:pPr>
        <w:pStyle w:val="ListBullet"/>
        <w:spacing w:after="40"/>
      </w:pPr>
      <w:r>
        <w:t>⚠️ Rào cản EUDR: quy định chống phá rừng của EU yêu cầu truy xuất nguồn gốc gỗ — doanh nghiệp VN phải tuân thủ chặt để giữ đơn hàng.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3. THỊ TRƯỜNG ÚC (Heo Heo)</w:t>
      </w:r>
    </w:p>
    <w:p>
      <w:pPr>
        <w:pStyle w:val="ListBullet"/>
        <w:spacing w:after="40"/>
      </w:pPr>
      <w:r>
        <w:t>Tiêu dùng dai sức đầu 2026 (tăng lương, cắt giảm thuế, tài sản hộ gia đình tăng) nhưng dự báo chững lại: chi tiêu không thiết yếu tăng trưởng giảm mạnh từ 2,5% (2025) xuống ~0,7–1% (đến 12/2026); tổng bán lẻ +2,3% (Deloitte Access Economics).</w:t>
      </w:r>
    </w:p>
    <w:p>
      <w:pPr>
        <w:pStyle w:val="ListBullet"/>
        <w:spacing w:after="40"/>
      </w:pPr>
      <w:r>
        <w:t>Niềm tin tiêu dùng &amp; kinh doanh gần đáy lịch sử (Roy Morgan); người Úc rất nhạy giá, hoãn mua nội thất mới trước tiên.</w:t>
      </w:r>
    </w:p>
    <w:p>
      <w:pPr>
        <w:pStyle w:val="ListBullet"/>
        <w:spacing w:after="40"/>
      </w:pPr>
      <w:r>
        <w:t>CPI 3,8% (6/2026), lạm phát lõi 3,6%; có thể đạt đỉnh 4,8% Q2/2026 do giá nhiên liệu; trên mục tiêu 2–3% đến giữa 2027; RBA giữ lãi suất cả năm 2026 và 2027, chưa cắt — chi phí vay thế chấp cao kìm mua nhà &amp; nội thất.</w:t>
      </w:r>
    </w:p>
    <w:p>
      <w:pPr>
        <w:pStyle w:val="ListBullet"/>
        <w:spacing w:after="40"/>
      </w:pPr>
      <w:r>
        <w:t>Nội thất Úc: 18,3 tỷ USD (2025) → 34,5 tỷ USD (2034), CAGR 7,1% (IMARC); xu hướng nội thất đa năng, tiết kiệm diện tích; nhà đơn lập chiếm 70%+ số hoàn công.</w:t>
      </w:r>
    </w:p>
    <w:p>
      <w:pPr>
        <w:pStyle w:val="ListBullet"/>
        <w:spacing w:after="40"/>
      </w:pPr>
      <w:r>
        <w:t>Gỗ VN sang Úc: ~163 triệu USD, tăng ổn định — thị trường duy trì, không kỳ vọng bùng nổ cuối 2026, chờ lãi suất hạ vào 2027.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4. SO SÁNH NHANH 3 THỊ TRƯỜNG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</w:tcPr>
          <w:p>
            <w:r>
              <w:rPr>
                <w:b/>
                <w:sz w:val="17"/>
              </w:rPr>
              <w:t>Tiêu chí</w:t>
            </w:r>
          </w:p>
        </w:tc>
        <w:tc>
          <w:tcPr>
            <w:tcW w:type="dxa" w:w="2381"/>
          </w:tcPr>
          <w:p>
            <w:r>
              <w:rPr>
                <w:b/>
                <w:sz w:val="17"/>
              </w:rPr>
              <w:t>🇺🇸 Mỹ</w:t>
            </w:r>
          </w:p>
        </w:tc>
        <w:tc>
          <w:tcPr>
            <w:tcW w:type="dxa" w:w="2381"/>
          </w:tcPr>
          <w:p>
            <w:r>
              <w:rPr>
                <w:b/>
                <w:sz w:val="17"/>
              </w:rPr>
              <w:t>🇪🇺 EU</w:t>
            </w:r>
          </w:p>
        </w:tc>
        <w:tc>
          <w:tcPr>
            <w:tcW w:type="dxa" w:w="2211"/>
          </w:tcPr>
          <w:p>
            <w:r>
              <w:rPr>
                <w:b/>
                <w:sz w:val="17"/>
              </w:rPr>
              <w:t>🇦🇺 Úc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Doanh số bán lẻ 2026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Tăng tháng thứ 10 liên tiếp, dai sức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Dưới 3%, hàng phi thực phẩm giảm</w:t>
            </w:r>
          </w:p>
        </w:tc>
        <w:tc>
          <w:tcPr>
            <w:tcW w:type="dxa" w:w="2211"/>
          </w:tcPr>
          <w:p>
            <w:r>
              <w:rPr>
                <w:sz w:val="17"/>
              </w:rPr>
              <w:t>+2,3%, hàng không thiết yếu ~1%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Niềm tin tiêu dùng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Khá ổn, tài chính hộ gia đình trên năm trước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Hồi phục nhưng còn âm sâu (-15,9)</w:t>
            </w:r>
          </w:p>
        </w:tc>
        <w:tc>
          <w:tcPr>
            <w:tcW w:type="dxa" w:w="2211"/>
          </w:tcPr>
          <w:p>
            <w:r>
              <w:rPr>
                <w:sz w:val="17"/>
              </w:rPr>
              <w:t>Gần đáy lịch sử, thận trọng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Lạm phát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Kỳ vọng 4,3% (1 năm)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3,0% (2026)</w:t>
            </w:r>
          </w:p>
        </w:tc>
        <w:tc>
          <w:tcPr>
            <w:tcW w:type="dxa" w:w="2211"/>
          </w:tcPr>
          <w:p>
            <w:r>
              <w:rPr>
                <w:sz w:val="17"/>
              </w:rPr>
              <w:t>3,8–4,8%, trên mục tiêu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Lãi suất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Fed giữ nguyên cả năm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Giữ, 70% khả năng tăng 9/2026</w:t>
            </w:r>
          </w:p>
        </w:tc>
        <w:tc>
          <w:tcPr>
            <w:tcW w:type="dxa" w:w="2211"/>
          </w:tcPr>
          <w:p>
            <w:r>
              <w:rPr>
                <w:sz w:val="17"/>
              </w:rPr>
              <w:t>RBA giữ nguyên 2026–2027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Nhà ở / nội thất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Cải thiện nhẹ; +13% doanh số nhà dự báo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Tiền thuê tăng, mua nhà bị kìm</w:t>
            </w:r>
          </w:p>
        </w:tc>
        <w:tc>
          <w:tcPr>
            <w:tcW w:type="dxa" w:w="2211"/>
          </w:tcPr>
          <w:p>
            <w:r>
              <w:rPr>
                <w:sz w:val="17"/>
              </w:rPr>
              <w:t>Lãi suất cao kìm khởi công mới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Nhu cầu hàng VN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Số 1 nhưng đang yếu, Trung Quốc/EU bù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🔥 BÙNG NỔ: Hà Lan +104%, Đức +47%</w:t>
            </w:r>
          </w:p>
        </w:tc>
        <w:tc>
          <w:tcPr>
            <w:tcW w:type="dxa" w:w="2211"/>
          </w:tcPr>
          <w:p>
            <w:r>
              <w:rPr>
                <w:sz w:val="17"/>
              </w:rPr>
              <w:t>Ổn định ~163 triệu USD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5. KẾT LUẬN &amp; KHUYẾN NGHỊ CHO BTCHEM</w:t>
      </w:r>
    </w:p>
    <w:p>
      <w:pPr>
        <w:pStyle w:val="ListBullet"/>
        <w:spacing w:after="40"/>
      </w:pPr>
      <w:r>
        <w:rPr>
          <w:b/>
        </w:rPr>
        <w:t xml:space="preserve">1️⃣ </w:t>
      </w:r>
      <w:r>
        <w:t>EU là cơ hội tăng trưởng lớn nhất hiện tại: đơn hàng nội thất VN sang châu Âu bùng nổ (Hà Lan, Đức, Bắc Âu) nhờ thuế 0% EVFTA + nhu cầu hồi phục → ưu tiên nguồn lực chào đơn hàng xuất EU, chuẩn bị tư vấn tuân thủ EUDR cho khách.</w:t>
      </w:r>
    </w:p>
    <w:p>
      <w:pPr>
        <w:pStyle w:val="ListBullet"/>
        <w:spacing w:after="40"/>
      </w:pPr>
      <w:r>
        <w:rPr>
          <w:b/>
        </w:rPr>
        <w:t xml:space="preserve">2️⃣ </w:t>
      </w:r>
      <w:r>
        <w:t>Mỹ là thị trường lớn nhất nhưng đang chững: người mua chọn lọc giá trị, XK gỗ sang Mỹ Q1/2026 yếu — duy trì quan hệ, chờ tín hiệu lãi suất hạ + thuế giảm (kỳ vọng tích cực nửa sau 2026).</w:t>
      </w:r>
    </w:p>
    <w:p>
      <w:pPr>
        <w:pStyle w:val="ListBullet"/>
        <w:spacing w:after="40"/>
      </w:pPr>
      <w:r>
        <w:rPr>
          <w:b/>
        </w:rPr>
        <w:t xml:space="preserve">3️⃣ </w:t>
      </w:r>
      <w:r>
        <w:t>Úc là thị trường duy trì: sức mua yếu do lãi suất cao nhưng nền tảng dài hạn tốt (CAGR ~7%) — giữ quan hệ, kỳ vọng tăng mạnh khi RBA hạ lãi suất 2027.</w:t>
      </w:r>
    </w:p>
    <w:p>
      <w:pPr>
        <w:pStyle w:val="ListBullet"/>
        <w:spacing w:after="40"/>
      </w:pPr>
      <w:r>
        <w:rPr>
          <w:b/>
        </w:rPr>
        <w:t xml:space="preserve">4️⃣ </w:t>
      </w:r>
      <w:r>
        <w:t>Điểm chung cả 3 thị trường: lạm phát cao + lãi suất neo cao → người tiêu dùng thắt chặt chi tiêu lớn, ưu tiên giá trị; hàng lâu bền (nội thất) là nhóm nhạy cảm nhất. Hàng xuất khẩu cần nhấn chất lượng ổn định + giá cạnh tranh + đúng hạn.</w:t>
      </w:r>
    </w:p>
    <w:p>
      <w:pPr>
        <w:pStyle w:val="ListBullet"/>
        <w:spacing w:after="40"/>
      </w:pPr>
      <w:r>
        <w:rPr>
          <w:b/>
        </w:rPr>
        <w:t xml:space="preserve">5️⃣ </w:t>
      </w:r>
      <w:r>
        <w:t>Tín hiệu tổng thể tích cực: XK gỗ &amp; nội thất VN 7 tháng đầu năm vượt 10,2 tỷ USD (+5,6%), định hướng vượt 20 tỷ USD cả năm — đơn hàng sơn cho ngành gỗ theo đó có triển vọng tốt, đặc biệt mảng xuất EU.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17"/>
        </w:rPr>
        <w:t>Nguồn: BEA, ClaritX, Axios, Deloitte, US Bank, Realtor.com, Mordor Intelligence, Furniture Today, Piper Sandler (Mỹ); GlobalData, DG ECFIN, Trading Economics, ECB, CBRE, DTiNews, Mordor, vietnam-briefing (EU); RBA SMP 5-8/2026, ABS CPI, Roy Morgan, Deloitte Access Economics, IMARC, Vantage Logistics (Úc).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