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TÀI LIỆU R&amp;D: QUY TRÌNH NẤU DẦU BIẾN TÍNH ỨNG DỤNG TRONG SẢN XUẤT HARDWAX-OIL</w:t>
      </w:r>
    </w:p>
    <w:p>
      <w:r>
        <w:t>*(Tài liệu mật phục vụ nghiên cứu và phát triển sản phẩm tương đương hệ Rubio Monocoat)*</w:t>
      </w:r>
    </w:p>
    <w:p>
      <w:r>
        <w:t>---</w:t>
      </w:r>
    </w:p>
    <w:p>
      <w:pPr>
        <w:pStyle w:val="Heading2"/>
      </w:pPr>
      <w:r>
        <w:t>1. MỤC TIÊU NGHIÊN CỨU</w:t>
      </w:r>
    </w:p>
    <w:p>
      <w:r>
        <w:t>Nhằm tạo ra các hệ sản phẩm bảo vệ gỗ thế hệ mới dựa trên nền tảng dầu tự nhiên, thay thế nhựa hóa dầu truyền thống. Tài liệu này hướng dẫn quy trình hóa học bẻ gãy và gắn nhóm chức (-OH, -COOH) vào Dầu hạt lanh (Linseed Oil) để tạo ra 2 hệ sản phẩm:</w:t>
      </w:r>
    </w:p>
    <w:p>
      <w:pPr>
        <w:pStyle w:val="ListBullet"/>
      </w:pPr>
      <w:r>
        <w:t>**Hệ 2K 100% Solid:** Tương đương dòng *Oil Plus 2C* (đóng rắn bằng Polyisocyanate).</w:t>
      </w:r>
    </w:p>
    <w:p>
      <w:pPr>
        <w:pStyle w:val="ListBullet"/>
      </w:pPr>
      <w:r>
        <w:t>**Hệ Nhũ tương gốc nước (Water-borne):** Tương đương dòng kem sáp ngoại thất *WoodCream*.</w:t>
      </w:r>
    </w:p>
    <w:p>
      <w:r>
        <w:t>---</w:t>
      </w:r>
    </w:p>
    <w:p>
      <w:pPr>
        <w:pStyle w:val="Heading2"/>
      </w:pPr>
      <w:r>
        <w:t>2. GIAI ĐOẠN 1: TỔNG HỢP POLYOL GỐC DẦU (GẮN GỐC -OH)</w:t>
      </w:r>
    </w:p>
    <w:p>
      <w:r>
        <w:t>*Mục đích:* Dầu hạt lanh nguyên thủy là Triglyceride (không có gốc -OH tự do) nên không thể phản ứng với chất đóng rắn Isocyanate (-NCO). Cần tiến hành phản ứng Glycerolysis (Glycerin phân giải) để tạo ra Monoglyceride chứa -OH tự do.</w:t>
      </w:r>
    </w:p>
    <w:p>
      <w:pPr>
        <w:pStyle w:val="Heading3"/>
      </w:pPr>
      <w:r>
        <w:t>2.1. Phản ứng hóa học</w:t>
      </w:r>
    </w:p>
    <w:p>
      <w:r>
        <w:t>Dầu hạt lanh + Glycerin ---(Xúc tác, 220-240°C)--&gt; Monoglyceride (1 gốc -OH tự do, sản phẩm mục tiêu) + Diglyceride (1 gốc -OH tự do)</w:t>
      </w:r>
    </w:p>
    <w:p>
      <w:pPr>
        <w:pStyle w:val="Heading3"/>
      </w:pPr>
      <w:r>
        <w:t>2.2. Điều kiện tổng hợp</w:t>
      </w:r>
    </w:p>
    <w:p>
      <w:pPr>
        <w:pStyle w:val="ListBullet"/>
      </w:pPr>
      <w:r>
        <w:t xml:space="preserve">  **Nguyên liệu:** Dầu hạt lanh tinh chế, Glycerin công nghiệp.</w:t>
      </w:r>
    </w:p>
    <w:p>
      <w:pPr>
        <w:pStyle w:val="ListBullet"/>
      </w:pPr>
      <w:r>
        <w:t xml:space="preserve">  **Xúc tác Base:** Lithium Hydroxide (LiOH), Canxi Oxit (CaO), hoặc Natri Methoxide.</w:t>
      </w:r>
    </w:p>
    <w:p>
      <w:pPr>
        <w:pStyle w:val="ListBullet"/>
      </w:pPr>
      <w:r>
        <w:t xml:space="preserve">  **Nhiệt độ đun:** ~220°C - 240°C.</w:t>
      </w:r>
    </w:p>
    <w:p>
      <w:pPr>
        <w:pStyle w:val="ListBullet"/>
      </w:pPr>
      <w:r>
        <w:t xml:space="preserve">  **Môi trường:** Bắt buộc sục khí Nito (N2) trong suốt quá trình nấu để đuổi Oxy, chống cháy và ngăn dầu bị sậm màu (oxy hóa).</w:t>
      </w:r>
    </w:p>
    <w:p>
      <w:pPr>
        <w:pStyle w:val="ListBullet"/>
      </w:pPr>
      <w:r>
        <w:t xml:space="preserve">  **Kiểm tra độ hòa tan (Đạt điểm kết thúc):** Pha mẫu thử tỉ lệ 1:3 vào cồn Methanol. Nếu dung dịch trong suốt, không tách lớp, chứng tỏ phản ứng Glycerolysis đã hoàn tất.</w:t>
      </w:r>
    </w:p>
    <w:p>
      <w:pPr>
        <w:pStyle w:val="ListBullet"/>
      </w:pPr>
      <w:r>
        <w:t xml:space="preserve">  **Tỷ lệ mol khuyến nghị:** Dầu hạt lanh : Glycerin = 1 : 0,3 – 0,5 mol/mol. Thời gian phản ứng thông thường 2–4 giờ tùy kết quả test methanol. Hàm lượng Monoglyceride mục tiêu ≥ 50% để đảm bảo đủ nhóm -OH cho crosslink với Isocyanate.</w:t>
      </w:r>
    </w:p>
    <w:p>
      <w:pPr>
        <w:pStyle w:val="Heading3"/>
      </w:pPr>
      <w:r>
        <w:t>2.3. Ứng dụng: Sản xuất Dầu lau 2K (Hệ 100% Solids)</w:t>
      </w:r>
    </w:p>
    <w:p>
      <w:pPr>
        <w:pStyle w:val="ListBullet"/>
      </w:pPr>
      <w:r>
        <w:t xml:space="preserve">  Polyol Monoglyceride thu được từ Giai đoạn 1 sẽ được làm nguội, sấy kiệt nước.</w:t>
      </w:r>
    </w:p>
    <w:p>
      <w:pPr>
        <w:pStyle w:val="ListBullet"/>
      </w:pPr>
      <w:r>
        <w:t xml:space="preserve">  ⚠️ CẢNH BÁO PHÒNG CHÁY: Vải, giẻ, bao bì dính Monoglyceride hoặc Polyol gốc dầu lanh có nguy cơ TỰ BỐC CHÁY trong vòng 4–12 giờ do phản ứng autoxidation tỏa nhiệt. Bắt buộc ngâm ngập nước trước khi thải bỏ. Không để vải/giẻ khô tự nhiên trong không khí hoặc bỏ vào thùng rác kín.</w:t>
      </w:r>
    </w:p>
    <w:p>
      <w:pPr>
        <w:pStyle w:val="ListBullet"/>
      </w:pPr>
      <w:r>
        <w:t xml:space="preserve">  Đem nghiền với Sáp tự nhiên (Sáp Carnauba, Sáp ong) và Bột màu khoáng (Pigments) --&gt;  Thu được **Part A** (Dầu nền).</w:t>
      </w:r>
    </w:p>
    <w:p>
      <w:pPr>
        <w:pStyle w:val="ListBullet"/>
      </w:pPr>
      <w:r>
        <w:t xml:space="preserve">  **Part B** (Chất đóng rắn): Sử dụng Aliphatic Polyisocyanate (HDI Trimer mạch thẳng siêu loãng, 100% không dung môi) như *Desmodur® N 3900* (Covestro) để chống ố vàng và không phát thải VOC (100% solids).</w:t>
      </w:r>
    </w:p>
    <w:p>
      <w:pPr>
        <w:pStyle w:val="ListBullet"/>
      </w:pPr>
      <w:r>
        <w:t xml:space="preserve">  *Cảnh báo:* Isocyanate kỵ nước và kỵ gốc Axit. Phải đảm bảo Part A hoàn toàn khan nước để tránh xoa lên mặt gỗ bị sủi bọt khí CO2.</w:t>
      </w:r>
    </w:p>
    <w:p>
      <w:r>
        <w:t>---</w:t>
      </w:r>
    </w:p>
    <w:p>
      <w:pPr>
        <w:pStyle w:val="Heading2"/>
      </w:pPr>
      <w:r>
        <w:t>3. GIAI ĐOẠN 2: PHẢN ỨNG MALEIN HÓA (GẮN GỐC -COOH)</w:t>
      </w:r>
    </w:p>
    <w:p>
      <w:r>
        <w:t>*Mục đích:* Dùng Polyol thu được từ Giai đoạn 1 đem phản ứng tiếp với Maleic Anhydride (MA) để tạo ra gốc Axit (-COOH). Đây là công nghệ cốt lõi để sản xuất Dầu phân tán nước (Water-reducible oils) ứng dụng cho dòng kem sáp hệ nước.</w:t>
      </w:r>
    </w:p>
    <w:p>
      <w:pPr>
        <w:pStyle w:val="Heading3"/>
      </w:pPr>
      <w:r>
        <w:t>3.1. Các hướng phản ứng với MA</w:t>
      </w:r>
    </w:p>
    <w:p>
      <w:r>
        <w:t>Khi bổ sung MA vào lò nấu có 2 hướng phản ứng chính (phụ thuộc kiểm soát nhiệt độ):</w:t>
      </w:r>
    </w:p>
    <w:p>
      <w:pPr>
        <w:pStyle w:val="ListBullet"/>
      </w:pPr>
      <w:r>
        <w:t xml:space="preserve">  **Hướng 1 - Phản ứng mở vòng este hóa (Nhiệt độ 80°C - 120°C):** Nhóm -OH của Monoglyceride tấn công mở vòng MA, tạo thành Half-ester và giải phóng gốc Axit (-COOH) tự do.</w:t>
      </w:r>
    </w:p>
    <w:p>
      <w:pPr>
        <w:pStyle w:val="ListBullet"/>
      </w:pPr>
      <w:r>
        <w:t xml:space="preserve">  **Hướng 2 - Phản ứng cộng vào nối đôi (Nhiệt độ &gt;200°C):** MA ghép thẳng vào các nối đôi Carbon (=C) của gốc dầu hạt lanh thông qua phản ứng Ene / Diels-Alder.</w:t>
      </w:r>
    </w:p>
    <w:p>
      <w:pPr>
        <w:pStyle w:val="Heading3"/>
      </w:pPr>
      <w:r>
        <w:t>3.2. Ứng dụng: Sản xuất Kem sáp gốc nước (Water-borne WoodCream)</w:t>
      </w:r>
    </w:p>
    <w:p>
      <w:r>
        <w:t>Sản phẩm sau phản ứng với MA sẽ có cấu trúc chứa nhiều gốc Axit (-COOH) phân cực mạnh.</w:t>
      </w:r>
    </w:p>
    <w:p>
      <w:pPr>
        <w:pStyle w:val="ListBullet"/>
      </w:pPr>
      <w:r>
        <w:t xml:space="preserve">  **Quá trình Nhũ hóa:** Hỗn hợp này sẽ được làm nguội xuống &lt; 90°C. Sau đó cho thêm các dung dịch Amin hữu cơ (như TEA - Triethanolamine hoặc DMEA) để **Trung hòa** gốc axit.</w:t>
      </w:r>
    </w:p>
    <w:p>
      <w:pPr>
        <w:pStyle w:val="ListBullet"/>
      </w:pPr>
      <w:r>
        <w:t xml:space="preserve">  Sau khi trung hòa, hỗn hợp gốc dầu này lập tức có khả năng phân tán hòa tan hoàn toàn vào Nước cất (H2O), tạo thành một hệ nhũ tương trắng sữa.</w:t>
      </w:r>
    </w:p>
    <w:p>
      <w:pPr>
        <w:pStyle w:val="ListBullet"/>
      </w:pPr>
      <w:r>
        <w:t xml:space="preserve">  **Ưu điểm:** Khả năng bám dính tốt vào cellulose gỗ nhờ gốc -COOH. Khô vật lý bằng bay hơi nước (không phát thải VOC hữu cơ), thân thiện môi trường; tốc độ khô phụ thuộc nhiệt độ và độ ẩm môi trường — ở điều kiện RH &lt; 60%, 25°C có thể đạt touch-dry trong 1–2 giờ. Lớp màng mỏng có khả năng kỵ nước sau khi đóng rắn hoàn toàn.</w:t>
      </w:r>
    </w:p>
    <w:p>
      <w:pPr>
        <w:pStyle w:val="Heading3"/>
      </w:pPr>
      <w:r>
        <w:t>3.3. ⚠️ Lưu ý R&amp;D (Không ứng dụng nhầm lẫn)</w:t>
      </w:r>
    </w:p>
    <w:p>
      <w:pPr>
        <w:pStyle w:val="ListBullet"/>
      </w:pPr>
      <w:r>
        <w:t xml:space="preserve">  Polyol sau Giai đoạn 1 đem làm Dầu 2K đóng rắn.</w:t>
      </w:r>
    </w:p>
    <w:p>
      <w:pPr>
        <w:pStyle w:val="ListBullet"/>
      </w:pPr>
      <w:r>
        <w:t xml:space="preserve">  Polyol sau Giai đoạn 2 (có chứa MA / gốc Axit) **TUYỆT ĐỐI KHÔNG** được đem pha với chất đóng rắn Isocyanate. Isocyanate phản ứng cực kỳ mãnh liệt với gốc -COOH sinh ra khí CO2, làm hỏng hoàn toàn màng dầu (sùi bọt rỗ mặt).</w:t>
      </w:r>
    </w:p>
    <w:p>
      <w:pPr>
        <w:pStyle w:val="Heading1"/>
        <w:spacing w:before="480" w:after="240"/>
      </w:pPr>
      <w:r>
        <w:t>PHỤ LỤC: ĐÁNH GIÁ NỘI DUNG TÀI LIỆU</w:t>
      </w:r>
    </w:p>
    <w:p>
      <w:r>
        <w:rPr>
          <w:i/>
          <w:sz w:val="22"/>
        </w:rPr>
        <w:t>Đánh giá thực hiện bởi Claude Sonnet 4.6 (Anthropic) — Ngày: 24/05/2026</w:t>
      </w:r>
    </w:p>
    <w:p>
      <w:pPr>
        <w:spacing w:before="120" w:after="120"/>
      </w:pPr>
      <w:r>
        <w:rPr>
          <w:b/>
          <w:sz w:val="24"/>
        </w:rPr>
        <w:t>Tổng điểm: 7.2 / 10 — Khá tốt, cần sửa một số lỗi kỹ thuật và an toàn trước khi dùng chính thức.</w:t>
      </w:r>
    </w:p>
    <w:p>
      <w:pPr>
        <w:pStyle w:val="Heading2"/>
      </w:pPr>
      <w:r>
        <w:t>1. Điểm mạnh nổi bật</w:t>
      </w:r>
    </w:p>
    <w:p>
      <w:r>
        <w:rPr>
          <w:b/>
        </w:rPr>
        <w:t xml:space="preserve">Cấu trúc &amp; logic (8.5/10): </w:t>
      </w:r>
      <w:r>
        <w:t>Ba giai đoạn Glycerolysis → Malein hóa → Phân nhánh ứng dụng được trình bày tuần tự, rõ ràng, dễ theo dõi.</w:t>
      </w:r>
    </w:p>
    <w:p>
      <w:r>
        <w:rPr>
          <w:b/>
        </w:rPr>
        <w:t xml:space="preserve">Phân nhánh ứng dụng (8.0/10): </w:t>
      </w:r>
      <w:r>
        <w:t>Phân biệt rõ Hệ 2K (Giai đoạn 1 + Isocyanate) vs. Hệ nhũ tương nước (Giai đoạn 1 + MA → trung hòa). Cảnh báo TUYỆT ĐỐI KHÔNG trộn -COOH với NCO là đúng và quan trọng.</w:t>
      </w:r>
    </w:p>
    <w:p>
      <w:r>
        <w:rPr>
          <w:b/>
        </w:rPr>
        <w:t xml:space="preserve">Cơ chế malein hóa (7.5/10): </w:t>
      </w:r>
      <w:r>
        <w:t>Phân biệt Hướng 1 (esterification mở vòng, 80–120°C) vs. Hướng 2 (Ene/Diels-Alder, &gt;200°C) là chính xác về hóa học.</w:t>
      </w:r>
    </w:p>
    <w:p>
      <w:r>
        <w:rPr>
          <w:b/>
        </w:rPr>
        <w:t xml:space="preserve">Dữ liệu thực hành (7.0/10): </w:t>
      </w:r>
      <w:r>
        <w:t>Có nhiệt độ, xúc tác, phương pháp kiểm tra endpoint (test methanol 1:3) và kiểm soát môi trường N2 — điều nhiều tài liệu nội bộ bỏ qua. Tên thương mại Desmodur® N 3900 (Covestro) chính xác.</w:t>
      </w:r>
    </w:p>
    <w:p>
      <w:pPr>
        <w:pStyle w:val="Heading2"/>
      </w:pPr>
      <w:r>
        <w:t>2. Các lỗi kỹ thuật đã sửa trong phiên bản này</w:t>
      </w:r>
    </w:p>
    <w:p>
      <w:r>
        <w:rPr>
          <w:b/>
        </w:rPr>
        <w:t xml:space="preserve">Lỗi 1 — Mục 2.1: Sai stoichiometry gốc -OH trên Monoglyceride (ĐÃ SỬA): </w:t>
      </w:r>
      <w:r>
        <w:t>Nguyên bản viết "Monoglyceride (2 gốc -OH)" — sai. Monoglyceride chỉ có 1 gốc -OH tự do trong điều kiện Glycerolysis công nghiệp. Đã sửa thành "Monoglyceride (1 gốc -OH tự do, sản phẩm mục tiêu)".</w:t>
      </w:r>
    </w:p>
    <w:p>
      <w:r>
        <w:rPr>
          <w:b/>
        </w:rPr>
        <w:t xml:space="preserve">Lỗi 2 — Mục 2.3: Thiếu cảnh báo tự bốc cháy vải dính dầu lanh (ĐÃ SỬA): </w:t>
      </w:r>
      <w:r>
        <w:t>Đã thêm cảnh báo phòng cháy: vải/giẻ dính Polyol gốc dầu lanh có thể tự bốc cháy trong 4–12 giờ do autoxidation tỏa nhiệt. Bắt buộc ngâm ngập nước trước khi thải bỏ.</w:t>
      </w:r>
    </w:p>
    <w:p>
      <w:r>
        <w:rPr>
          <w:b/>
        </w:rPr>
        <w:t xml:space="preserve">Lỗi 3 — Mục 3.2: "Khô siêu nhanh" không chính xác (ĐÃ SỬA): </w:t>
      </w:r>
      <w:r>
        <w:t>Hệ nhũ tương nước linseed-based thực tế khô chậm hơn ở độ ẩm cao (phổ biến ở Việt Nam). Đã sửa thành mô tả điều kiện cụ thể: touch-dry 1–2 giờ ở RH &lt;60%, 25°C.</w:t>
      </w:r>
    </w:p>
    <w:p>
      <w:r>
        <w:rPr>
          <w:b/>
        </w:rPr>
        <w:t xml:space="preserve">Lỗi 4 — Mục 3.2: "Hiệu ứng lá sen" là marketing copy không phù hợp tài liệu R&amp;D (ĐÃ SỬA): </w:t>
      </w:r>
      <w:r>
        <w:t>Hardwax Oil thấm vào gỗ và đóng rắn trong tế bào gỗ — không tạo màng theo cơ chế lotus effect. Đã thay bằng mô tả chính xác: "khả năng kỵ nước sau khi đóng rắn hoàn toàn".</w:t>
      </w:r>
    </w:p>
    <w:p>
      <w:r>
        <w:rPr>
          <w:b/>
        </w:rPr>
        <w:t xml:space="preserve">Lỗi 5 — Mục 2.3: "Khử độc bay hơi" không rõ nghĩa (ĐÃ SỬA): </w:t>
      </w:r>
      <w:r>
        <w:t>Đã sửa thành "không phát thải VOC (100% solids)" — mô tả kỹ thuật chính xác hơn cho Desmodur® N 3900.</w:t>
      </w:r>
    </w:p>
    <w:p>
      <w:r>
        <w:rPr>
          <w:b/>
        </w:rPr>
        <w:t xml:space="preserve">Lỗi 6 — Mục 2.2: Thiếu tỷ lệ mol và thời gian phản ứng Glycerolysis (ĐÃ SỬA): </w:t>
      </w:r>
      <w:r>
        <w:t>Đã thêm: tỷ lệ mol dầu:glycerin = 1:0,3–0,5; thời gian 2–4 giờ; hàm lượng Monoglyceride mục tiêu ≥50%.</w:t>
      </w:r>
    </w:p>
    <w:p>
      <w:r>
        <w:rPr>
          <w:b/>
        </w:rPr>
        <w:t xml:space="preserve">Lỗi 7 — Mục đích Giai đoạn 1: "Glycer phân" không chuẩn (ĐÃ SỬA): </w:t>
      </w:r>
      <w:r>
        <w:t>Đã sửa thành "Glycerolysis (Glycerin phân giải)" — thuật ngữ chuẩn quốc tế.</w:t>
      </w:r>
    </w:p>
    <w:p>
      <w:r>
        <w:rPr>
          <w:b/>
        </w:rPr>
        <w:t xml:space="preserve">Lỗi 8 — Mục 3.2: "xen-lu-lô" không chuẩn (ĐÃ SỬA): </w:t>
      </w:r>
      <w:r>
        <w:t>Đã sửa thành "cellulose" theo thuật ngữ hóa học chuẩn.</w:t>
      </w:r>
    </w:p>
    <w:p>
      <w:pPr>
        <w:pStyle w:val="Heading2"/>
      </w:pPr>
      <w:r>
        <w:t>3. Vấn đề còn tồn tại cần xem xét</w:t>
      </w:r>
    </w:p>
    <w:p>
      <w:r>
        <w:rPr>
          <w:b/>
        </w:rPr>
        <w:t xml:space="preserve">Cobalt SVHC: </w:t>
      </w:r>
      <w:r>
        <w:t>Nếu trong thực tế R&amp;D có sử dụng Co octoate làm chất làm khô (siccative), cần lưu ý Cobalt được EU phân loại SVHC từ 2023. Khuyến nghị bổ sung phương án thay thế: Mn acetylacetonate, Fe-bispidone, hoặc Borchi OXY-Coat.</w:t>
      </w:r>
    </w:p>
    <w:p>
      <w:r>
        <w:rPr>
          <w:b/>
        </w:rPr>
        <w:t xml:space="preserve">Thiếu phần QC định lượng: </w:t>
      </w:r>
      <w:r>
        <w:t>Tài liệu chưa có chỉ tiêu kiểm tra sản phẩm trung gian (Acid Value, Hydroxyl Value, Gardner color) và sản phẩm cuối (viscosity, pH, particle size nhũ tương). Nên bổ sung trong phiên bản tiếp theo.</w:t>
      </w:r>
    </w:p>
    <w:p>
      <w:pPr>
        <w:pStyle w:val="Heading2"/>
      </w:pPr>
      <w:r>
        <w:t>4. Bảng điểm tổng hợp</w:t>
      </w:r>
    </w:p>
    <w:p>
      <w:r>
        <w:t> </w:t>
      </w:r>
    </w:p>
    <w:tbl>
      <w:tblPr>
        <w:tblW w:type="dxa" w:w="8640"/>
        <w:tblBorders>
          <w:top w:val="single" w:sz="4" w:color="4472C4"/>
          <w:left w:val="single" w:sz="4" w:color="4472C4"/>
          <w:bottom w:val="single" w:sz="4" w:color="4472C4"/>
          <w:right w:val="single" w:sz="4" w:color="4472C4"/>
          <w:insideH w:val="single" w:sz="4" w:color="CCCCCC"/>
          <w:insideV w:val="single" w:sz="4" w:color="CCCCCC"/>
        </w:tblBorders>
      </w:tblPr>
      <w:tblGrid>
        <w:gridCol w:w="4320"/>
        <w:gridCol w:w="1440"/>
        <w:gridCol w:w="2880"/>
      </w:tblGrid>
      <w:tr>
        <w:trPr>
          <w:tblHeader/>
        </w:trPr>
        <w:tc>
          <w:tcPr>
            <w:tcW w:type="dxa" w:w="4320"/>
          </w:tcPr>
          <w:p>
            <w:r>
              <w:rPr>
                <w:b/>
              </w:rPr>
              <w:t>Chiều đánh giá</w:t>
            </w:r>
          </w:p>
        </w:tc>
        <w:tc>
          <w:tcPr>
            <w:tcW w:type="dxa" w:w="1440"/>
          </w:tcPr>
          <w:p>
            <w:r>
              <w:rPr>
                <w:b/>
              </w:rPr>
              <w:t>Điểm</w:t>
            </w:r>
          </w:p>
        </w:tc>
        <w:tc>
          <w:tcPr>
            <w:tcW w:type="dxa" w:w="2880"/>
          </w:tcPr>
          <w:p>
            <w:r>
              <w:rPr>
                <w:b/>
              </w:rPr>
              <w:t>Nhận xét</w:t>
            </w:r>
          </w:p>
        </w:tc>
      </w:tr>
      <w:tr>
        <w:tc>
          <w:tcPr>
            <w:tcW w:type="dxa" w:w="4320"/>
          </w:tcPr>
          <w:p>
            <w:r>
              <w:t>1. Cấu trúc &amp; logic</w:t>
            </w:r>
          </w:p>
        </w:tc>
        <w:tc>
          <w:tcPr>
            <w:tcW w:type="dxa" w:w="1440"/>
          </w:tcPr>
          <w:p>
            <w:r>
              <w:t>8.5/10</w:t>
            </w:r>
          </w:p>
        </w:tc>
        <w:tc>
          <w:tcPr>
            <w:tcW w:type="dxa" w:w="2880"/>
          </w:tcPr>
          <w:p>
            <w:r>
              <w:t>Rõ, tuần tự, dẫn dắt tốt</w:t>
            </w:r>
          </w:p>
        </w:tc>
      </w:tr>
      <w:tr>
        <w:tc>
          <w:tcPr>
            <w:tcW w:type="dxa" w:w="4320"/>
          </w:tcPr>
          <w:p>
            <w:r>
              <w:t>2. Độ chính xác hóa học</w:t>
            </w:r>
          </w:p>
        </w:tc>
        <w:tc>
          <w:tcPr>
            <w:tcW w:type="dxa" w:w="1440"/>
          </w:tcPr>
          <w:p>
            <w:r>
              <w:t>6.0/10</w:t>
            </w:r>
          </w:p>
        </w:tc>
        <w:tc>
          <w:tcPr>
            <w:tcW w:type="dxa" w:w="2880"/>
          </w:tcPr>
          <w:p>
            <w:r>
              <w:t>Lỗi stoichiometry MG và thiếu cảnh báo an toàn (đã sửa)</w:t>
            </w:r>
          </w:p>
        </w:tc>
      </w:tr>
      <w:tr>
        <w:tc>
          <w:tcPr>
            <w:tcW w:type="dxa" w:w="4320"/>
          </w:tcPr>
          <w:p>
            <w:r>
              <w:t>3. Độ bao phủ nội dung</w:t>
            </w:r>
          </w:p>
        </w:tc>
        <w:tc>
          <w:tcPr>
            <w:tcW w:type="dxa" w:w="1440"/>
          </w:tcPr>
          <w:p>
            <w:r>
              <w:t>6.5/10</w:t>
            </w:r>
          </w:p>
        </w:tc>
        <w:tc>
          <w:tcPr>
            <w:tcW w:type="dxa" w:w="2880"/>
          </w:tcPr>
          <w:p>
            <w:r>
              <w:t>Thiếu driers, QC endpoint định lượng</w:t>
            </w:r>
          </w:p>
        </w:tc>
      </w:tr>
      <w:tr>
        <w:tc>
          <w:tcPr>
            <w:tcW w:type="dxa" w:w="4320"/>
          </w:tcPr>
          <w:p>
            <w:r>
              <w:t>4. Dữ liệu thực hành</w:t>
            </w:r>
          </w:p>
        </w:tc>
        <w:tc>
          <w:tcPr>
            <w:tcW w:type="dxa" w:w="1440"/>
          </w:tcPr>
          <w:p>
            <w:r>
              <w:t>7.0/10</w:t>
            </w:r>
          </w:p>
        </w:tc>
        <w:tc>
          <w:tcPr>
            <w:tcW w:type="dxa" w:w="2880"/>
          </w:tcPr>
          <w:p>
            <w:r>
              <w:t>Đã bổ sung tỷ lệ mol và thời gian phản ứng</w:t>
            </w:r>
          </w:p>
        </w:tc>
      </w:tr>
      <w:tr>
        <w:tc>
          <w:tcPr>
            <w:tcW w:type="dxa" w:w="4320"/>
          </w:tcPr>
          <w:p>
            <w:r>
              <w:t>5. Giá trị ứng dụng BTChem</w:t>
            </w:r>
          </w:p>
        </w:tc>
        <w:tc>
          <w:tcPr>
            <w:tcW w:type="dxa" w:w="1440"/>
          </w:tcPr>
          <w:p>
            <w:r>
              <w:t>8.0/10</w:t>
            </w:r>
          </w:p>
        </w:tc>
        <w:tc>
          <w:tcPr>
            <w:tcW w:type="dxa" w:w="2880"/>
          </w:tcPr>
          <w:p>
            <w:r>
              <w:t>Phân nhánh 2K vs WB rõ, tên thương mại chuẩn</w:t>
            </w:r>
          </w:p>
        </w:tc>
      </w:tr>
      <w:tr>
        <w:tc>
          <w:tcPr>
            <w:tcW w:type="dxa" w:w="4320"/>
          </w:tcPr>
          <w:p>
            <w:r>
              <w:t>6. Trình bày &amp; văn phong</w:t>
            </w:r>
          </w:p>
        </w:tc>
        <w:tc>
          <w:tcPr>
            <w:tcW w:type="dxa" w:w="1440"/>
          </w:tcPr>
          <w:p>
            <w:r>
              <w:t>7.0/10</w:t>
            </w:r>
          </w:p>
        </w:tc>
        <w:tc>
          <w:tcPr>
            <w:tcW w:type="dxa" w:w="2880"/>
          </w:tcPr>
          <w:p>
            <w:r>
              <w:t>Đã sửa thuật ngữ không chuẩn</w:t>
            </w:r>
          </w:p>
        </w:tc>
      </w:tr>
      <w:tr>
        <w:tc>
          <w:tcPr>
            <w:tcW w:type="dxa" w:w="4320"/>
          </w:tcPr>
          <w:p>
            <w:r>
              <w:rPr>
                <w:b/>
              </w:rPr>
              <w:t>TỔNG THỂ</w:t>
            </w:r>
          </w:p>
        </w:tc>
        <w:tc>
          <w:tcPr>
            <w:tcW w:type="dxa" w:w="1440"/>
          </w:tcPr>
          <w:p>
            <w:r>
              <w:rPr>
                <w:b/>
              </w:rPr>
              <w:t>7.2/10</w:t>
            </w:r>
          </w:p>
        </w:tc>
        <w:tc>
          <w:tcPr>
            <w:tcW w:type="dxa" w:w="2880"/>
          </w:tcPr>
          <w:p>
            <w:r>
              <w:rPr>
                <w:b/>
              </w:rPr>
              <w:t>Khá — dùng được nội bộ sau khi sửa</w:t>
            </w:r>
          </w:p>
        </w:tc>
      </w:tr>
    </w:tbl>
    <w:p>
      <w:r>
        <w:t> </w:t>
      </w:r>
    </w:p>
    <w:p>
      <w:r>
        <w:rPr>
          <w:i/>
          <w:sz w:val="20"/>
          <w:color w:val="595959"/>
        </w:rPr>
        <w:t>Lưu ý: Đánh giá này được tạo bởi mô hình ngôn ngữ Claude Sonnet 4.6 (Anthropic). Các nhận xét về lỗi kỹ thuật được đối chiếu với cơ sở dữ liệu khoa học đến thời điểm đánh giá. Người dùng nên xác minh độc lập các sửa đổi quan trọng (đặc biệt thông số an toàn, công thức sản xuất) trước khi công bố ra ngoài.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