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CA4464">
      <w:pPr>
        <w:pStyle w:val="2"/>
        <w:keepNext w:val="0"/>
        <w:keepLines w:val="0"/>
        <w:widowControl/>
        <w:suppressLineNumbers w:val="0"/>
        <w:pBdr>
          <w:top w:val="single" w:color="auto" w:sz="4" w:space="0"/>
          <w:left w:val="none" w:color="auto" w:sz="0" w:space="0"/>
          <w:bottom w:val="none" w:color="auto" w:sz="0" w:space="0"/>
          <w:right w:val="none" w:color="auto" w:sz="0" w:space="0"/>
        </w:pBdr>
        <w:shd w:val="clear" w:fill="FFFFFF"/>
        <w:spacing w:before="100" w:beforeAutospacing="0" w:after="100" w:afterAutospacing="0"/>
        <w:ind w:left="-500" w:right="-500" w:firstLine="0"/>
        <w:rPr>
          <w:rFonts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1.Identification</w:t>
      </w:r>
    </w:p>
    <w:p w14:paraId="52F01F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1.1GHS Product identifier</w:t>
      </w:r>
    </w:p>
    <w:tbl>
      <w:tblPr>
        <w:tblStyle w:val="8"/>
        <w:tblW w:w="76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282"/>
        <w:gridCol w:w="5325"/>
      </w:tblGrid>
      <w:tr w14:paraId="0C8DB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06977607">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Product name</w:t>
            </w:r>
          </w:p>
        </w:tc>
        <w:tc>
          <w:tcPr>
            <w:tcW w:w="5325" w:type="dxa"/>
            <w:tcBorders>
              <w:top w:val="nil"/>
              <w:left w:val="nil"/>
              <w:bottom w:val="nil"/>
              <w:right w:val="nil"/>
            </w:tcBorders>
            <w:shd w:val="clear" w:color="auto" w:fill="FFFFFF"/>
            <w:vAlign w:val="top"/>
          </w:tcPr>
          <w:p w14:paraId="3C81C1F8">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lang w:val="en-US"/>
              </w:rPr>
            </w:pPr>
            <w:r>
              <w:rPr>
                <w:rFonts w:hint="default" w:ascii="Arial" w:hAnsi="Arial" w:eastAsia="Arial" w:cs="Arial"/>
                <w:i w:val="0"/>
                <w:iCs w:val="0"/>
                <w:caps w:val="0"/>
                <w:snapToGrid w:val="0"/>
                <w:color w:val="000000"/>
                <w:spacing w:val="0"/>
                <w:kern w:val="0"/>
                <w:sz w:val="13"/>
                <w:szCs w:val="13"/>
                <w:lang w:val="en-US" w:eastAsia="zh-CN" w:bidi="ar"/>
              </w:rPr>
              <w:t>2,2’-[(1-methylethylidene)bis(4,1-phenyleneoxymethylene)]bis-oxiranhomopol</w:t>
            </w:r>
            <w:r>
              <w:rPr>
                <w:rFonts w:hint="eastAsia" w:ascii="Arial" w:hAnsi="Arial" w:eastAsia="Arial" w:cs="Arial"/>
                <w:i w:val="0"/>
                <w:iCs w:val="0"/>
                <w:caps w:val="0"/>
                <w:snapToGrid w:val="0"/>
                <w:color w:val="000000"/>
                <w:spacing w:val="0"/>
                <w:kern w:val="0"/>
                <w:sz w:val="13"/>
                <w:szCs w:val="13"/>
                <w:lang w:val="en-US" w:eastAsia="zh-CN" w:bidi="ar"/>
              </w:rPr>
              <w:t xml:space="preserve"> SW6623</w:t>
            </w:r>
          </w:p>
        </w:tc>
      </w:tr>
    </w:tbl>
    <w:p w14:paraId="17F3FB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1.2Other means of identification</w:t>
      </w:r>
    </w:p>
    <w:tbl>
      <w:tblPr>
        <w:tblStyle w:val="8"/>
        <w:tblW w:w="76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282"/>
        <w:gridCol w:w="5325"/>
      </w:tblGrid>
      <w:tr w14:paraId="1CF52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5E900C91">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Product number</w:t>
            </w:r>
          </w:p>
        </w:tc>
        <w:tc>
          <w:tcPr>
            <w:tcW w:w="5325" w:type="dxa"/>
            <w:tcBorders>
              <w:top w:val="nil"/>
              <w:left w:val="nil"/>
              <w:bottom w:val="nil"/>
              <w:right w:val="nil"/>
            </w:tcBorders>
            <w:shd w:val="clear" w:color="auto" w:fill="FFFFFF"/>
            <w:vAlign w:val="top"/>
          </w:tcPr>
          <w:p w14:paraId="2B956793">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宋体" w:cs="Arial"/>
                <w:i w:val="0"/>
                <w:iCs w:val="0"/>
                <w:caps w:val="0"/>
                <w:color w:val="000000"/>
                <w:spacing w:val="0"/>
                <w:sz w:val="13"/>
                <w:szCs w:val="13"/>
                <w:lang w:val="en-US" w:eastAsia="zh-CN"/>
              </w:rPr>
            </w:pPr>
            <w:r>
              <w:rPr>
                <w:rFonts w:hint="eastAsia" w:eastAsia="宋体" w:cs="Arial"/>
                <w:i w:val="0"/>
                <w:iCs w:val="0"/>
                <w:caps w:val="0"/>
                <w:color w:val="000000"/>
                <w:spacing w:val="0"/>
                <w:sz w:val="13"/>
                <w:szCs w:val="13"/>
                <w:lang w:val="en-US" w:eastAsia="zh-CN"/>
              </w:rPr>
              <w:t>SW6623</w:t>
            </w:r>
            <w:bookmarkStart w:id="0" w:name="_GoBack"/>
            <w:bookmarkEnd w:id="0"/>
          </w:p>
        </w:tc>
      </w:tr>
      <w:tr w14:paraId="488E0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228C6E27">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Other names</w:t>
            </w:r>
          </w:p>
        </w:tc>
        <w:tc>
          <w:tcPr>
            <w:tcW w:w="5325" w:type="dxa"/>
            <w:tcBorders>
              <w:top w:val="nil"/>
              <w:left w:val="nil"/>
              <w:bottom w:val="nil"/>
              <w:right w:val="nil"/>
            </w:tcBorders>
            <w:shd w:val="clear" w:color="auto" w:fill="FFFFFF"/>
            <w:vAlign w:val="top"/>
          </w:tcPr>
          <w:p w14:paraId="4F19EB41">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w:t>
            </w:r>
          </w:p>
        </w:tc>
      </w:tr>
    </w:tbl>
    <w:p w14:paraId="09D174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1.3Recommended use of the chemical and restrictions on use</w:t>
      </w:r>
    </w:p>
    <w:tbl>
      <w:tblPr>
        <w:tblStyle w:val="8"/>
        <w:tblW w:w="76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282"/>
        <w:gridCol w:w="5325"/>
      </w:tblGrid>
      <w:tr w14:paraId="25742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0D2798F7">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Identified uses</w:t>
            </w:r>
          </w:p>
        </w:tc>
        <w:tc>
          <w:tcPr>
            <w:tcW w:w="5325" w:type="dxa"/>
            <w:tcBorders>
              <w:top w:val="nil"/>
              <w:left w:val="nil"/>
              <w:bottom w:val="nil"/>
              <w:right w:val="nil"/>
            </w:tcBorders>
            <w:shd w:val="clear" w:color="auto" w:fill="FFFFFF"/>
            <w:vAlign w:val="top"/>
          </w:tcPr>
          <w:p w14:paraId="3B88BA54">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For industry use only.</w:t>
            </w:r>
          </w:p>
        </w:tc>
      </w:tr>
      <w:tr w14:paraId="10044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56136686">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Uses advised against</w:t>
            </w:r>
          </w:p>
        </w:tc>
        <w:tc>
          <w:tcPr>
            <w:tcW w:w="5325" w:type="dxa"/>
            <w:tcBorders>
              <w:top w:val="nil"/>
              <w:left w:val="nil"/>
              <w:bottom w:val="nil"/>
              <w:right w:val="nil"/>
            </w:tcBorders>
            <w:shd w:val="clear" w:color="auto" w:fill="FFFFFF"/>
            <w:vAlign w:val="top"/>
          </w:tcPr>
          <w:p w14:paraId="635B9F60">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bl>
    <w:p w14:paraId="4ABB690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1.4Supplier's details</w:t>
      </w:r>
    </w:p>
    <w:tbl>
      <w:tblPr>
        <w:tblStyle w:val="8"/>
        <w:tblW w:w="76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282"/>
        <w:gridCol w:w="5325"/>
      </w:tblGrid>
      <w:tr w14:paraId="7B3FB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571E3793">
            <w:pPr>
              <w:jc w:val="left"/>
              <w:rPr>
                <w:rFonts w:hint="default" w:ascii="Arial" w:hAnsi="Arial" w:eastAsia="Arial" w:cs="Arial"/>
                <w:b/>
                <w:bCs/>
                <w:i w:val="0"/>
                <w:iCs w:val="0"/>
                <w:caps w:val="0"/>
                <w:color w:val="000000"/>
                <w:spacing w:val="0"/>
                <w:sz w:val="13"/>
                <w:szCs w:val="13"/>
              </w:rPr>
            </w:pPr>
          </w:p>
        </w:tc>
        <w:tc>
          <w:tcPr>
            <w:tcW w:w="5325" w:type="dxa"/>
            <w:tcBorders>
              <w:top w:val="nil"/>
              <w:left w:val="nil"/>
              <w:bottom w:val="nil"/>
              <w:right w:val="nil"/>
            </w:tcBorders>
            <w:shd w:val="clear" w:color="auto" w:fill="FFFFFF"/>
            <w:vAlign w:val="top"/>
          </w:tcPr>
          <w:p w14:paraId="4EE74B07">
            <w:pPr>
              <w:jc w:val="left"/>
              <w:rPr>
                <w:rFonts w:hint="default" w:ascii="Arial" w:hAnsi="Arial" w:eastAsia="Arial" w:cs="Arial"/>
                <w:i w:val="0"/>
                <w:iCs w:val="0"/>
                <w:caps w:val="0"/>
                <w:color w:val="000000"/>
                <w:spacing w:val="0"/>
                <w:sz w:val="13"/>
                <w:szCs w:val="13"/>
              </w:rPr>
            </w:pPr>
          </w:p>
        </w:tc>
      </w:tr>
      <w:tr w14:paraId="05F4C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25367987">
            <w:pPr>
              <w:jc w:val="left"/>
              <w:rPr>
                <w:rFonts w:hint="default" w:ascii="Arial" w:hAnsi="Arial" w:eastAsia="Arial" w:cs="Arial"/>
                <w:b/>
                <w:bCs/>
                <w:i w:val="0"/>
                <w:iCs w:val="0"/>
                <w:caps w:val="0"/>
                <w:color w:val="000000"/>
                <w:spacing w:val="0"/>
                <w:sz w:val="13"/>
                <w:szCs w:val="13"/>
              </w:rPr>
            </w:pPr>
          </w:p>
        </w:tc>
        <w:tc>
          <w:tcPr>
            <w:tcW w:w="5325" w:type="dxa"/>
            <w:tcBorders>
              <w:top w:val="nil"/>
              <w:left w:val="nil"/>
              <w:bottom w:val="nil"/>
              <w:right w:val="nil"/>
            </w:tcBorders>
            <w:shd w:val="clear" w:color="auto" w:fill="FFFFFF"/>
            <w:vAlign w:val="top"/>
          </w:tcPr>
          <w:p w14:paraId="482DB6DD">
            <w:pPr>
              <w:jc w:val="left"/>
              <w:rPr>
                <w:rFonts w:hint="default" w:ascii="Arial" w:hAnsi="Arial" w:eastAsia="Arial" w:cs="Arial"/>
                <w:i w:val="0"/>
                <w:iCs w:val="0"/>
                <w:caps w:val="0"/>
                <w:color w:val="000000"/>
                <w:spacing w:val="0"/>
                <w:sz w:val="13"/>
                <w:szCs w:val="13"/>
              </w:rPr>
            </w:pPr>
          </w:p>
        </w:tc>
      </w:tr>
      <w:tr w14:paraId="685A3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06A213B2">
            <w:pPr>
              <w:jc w:val="left"/>
              <w:rPr>
                <w:rFonts w:hint="default" w:ascii="Arial" w:hAnsi="Arial" w:eastAsia="Arial" w:cs="Arial"/>
                <w:b/>
                <w:bCs/>
                <w:i w:val="0"/>
                <w:iCs w:val="0"/>
                <w:caps w:val="0"/>
                <w:color w:val="000000"/>
                <w:spacing w:val="0"/>
                <w:sz w:val="13"/>
                <w:szCs w:val="13"/>
              </w:rPr>
            </w:pPr>
          </w:p>
        </w:tc>
        <w:tc>
          <w:tcPr>
            <w:tcW w:w="5325" w:type="dxa"/>
            <w:tcBorders>
              <w:top w:val="nil"/>
              <w:left w:val="nil"/>
              <w:bottom w:val="nil"/>
              <w:right w:val="nil"/>
            </w:tcBorders>
            <w:shd w:val="clear" w:color="auto" w:fill="FFFFFF"/>
            <w:vAlign w:val="top"/>
          </w:tcPr>
          <w:p w14:paraId="7C98ED85">
            <w:pPr>
              <w:jc w:val="left"/>
              <w:rPr>
                <w:rFonts w:hint="default" w:ascii="Arial" w:hAnsi="Arial" w:eastAsia="Arial" w:cs="Arial"/>
                <w:i w:val="0"/>
                <w:iCs w:val="0"/>
                <w:caps w:val="0"/>
                <w:color w:val="000000"/>
                <w:spacing w:val="0"/>
                <w:sz w:val="13"/>
                <w:szCs w:val="13"/>
              </w:rPr>
            </w:pPr>
          </w:p>
        </w:tc>
      </w:tr>
      <w:tr w14:paraId="743EC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4F48BD80">
            <w:pPr>
              <w:jc w:val="left"/>
              <w:rPr>
                <w:rFonts w:hint="default" w:ascii="Arial" w:hAnsi="Arial" w:eastAsia="Arial" w:cs="Arial"/>
                <w:b/>
                <w:bCs/>
                <w:i w:val="0"/>
                <w:iCs w:val="0"/>
                <w:caps w:val="0"/>
                <w:color w:val="000000"/>
                <w:spacing w:val="0"/>
                <w:sz w:val="13"/>
                <w:szCs w:val="13"/>
              </w:rPr>
            </w:pPr>
          </w:p>
        </w:tc>
        <w:tc>
          <w:tcPr>
            <w:tcW w:w="5325" w:type="dxa"/>
            <w:tcBorders>
              <w:top w:val="nil"/>
              <w:left w:val="nil"/>
              <w:bottom w:val="nil"/>
              <w:right w:val="nil"/>
            </w:tcBorders>
            <w:shd w:val="clear" w:color="auto" w:fill="FFFFFF"/>
            <w:vAlign w:val="top"/>
          </w:tcPr>
          <w:p w14:paraId="6CA732A3">
            <w:pPr>
              <w:jc w:val="left"/>
              <w:rPr>
                <w:rFonts w:hint="default" w:ascii="Arial" w:hAnsi="Arial" w:eastAsia="Arial" w:cs="Arial"/>
                <w:i w:val="0"/>
                <w:iCs w:val="0"/>
                <w:caps w:val="0"/>
                <w:color w:val="000000"/>
                <w:spacing w:val="0"/>
                <w:sz w:val="13"/>
                <w:szCs w:val="13"/>
              </w:rPr>
            </w:pPr>
          </w:p>
        </w:tc>
      </w:tr>
    </w:tbl>
    <w:p w14:paraId="417DD9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1.5Emergency phone number</w:t>
      </w:r>
    </w:p>
    <w:tbl>
      <w:tblPr>
        <w:tblStyle w:val="8"/>
        <w:tblW w:w="76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282"/>
        <w:gridCol w:w="5325"/>
      </w:tblGrid>
      <w:tr w14:paraId="5168C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0E2ECF11">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Emergency phone number</w:t>
            </w:r>
          </w:p>
        </w:tc>
        <w:tc>
          <w:tcPr>
            <w:tcW w:w="5325" w:type="dxa"/>
            <w:tcBorders>
              <w:top w:val="nil"/>
              <w:left w:val="nil"/>
              <w:bottom w:val="nil"/>
              <w:right w:val="nil"/>
            </w:tcBorders>
            <w:shd w:val="clear" w:color="auto" w:fill="FFFFFF"/>
            <w:vAlign w:val="top"/>
          </w:tcPr>
          <w:p w14:paraId="29B2E45E">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w:t>
            </w:r>
          </w:p>
        </w:tc>
      </w:tr>
      <w:tr w14:paraId="078C4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675340AF">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Service hours</w:t>
            </w:r>
          </w:p>
        </w:tc>
        <w:tc>
          <w:tcPr>
            <w:tcW w:w="5325" w:type="dxa"/>
            <w:tcBorders>
              <w:top w:val="nil"/>
              <w:left w:val="nil"/>
              <w:bottom w:val="nil"/>
              <w:right w:val="nil"/>
            </w:tcBorders>
            <w:shd w:val="clear" w:color="auto" w:fill="FFFFFF"/>
            <w:vAlign w:val="top"/>
          </w:tcPr>
          <w:p w14:paraId="7FEDB66B">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Monday to Friday, 9am-5pm (Standard time zone: UTC/GMT +8 hours).</w:t>
            </w:r>
          </w:p>
        </w:tc>
      </w:tr>
    </w:tbl>
    <w:p w14:paraId="1BE37BB8">
      <w:pPr>
        <w:pStyle w:val="2"/>
        <w:keepNext w:val="0"/>
        <w:keepLines w:val="0"/>
        <w:widowControl/>
        <w:suppressLineNumbers w:val="0"/>
        <w:pBdr>
          <w:top w:val="single" w:color="auto" w:sz="4" w:space="0"/>
          <w:left w:val="none" w:color="auto" w:sz="0" w:space="0"/>
          <w:bottom w:val="none" w:color="auto" w:sz="0" w:space="0"/>
          <w:right w:val="none" w:color="auto" w:sz="0" w:space="0"/>
        </w:pBdr>
        <w:shd w:val="clear" w:fill="FFFFFF"/>
        <w:spacing w:before="100" w:beforeAutospacing="0" w:after="100" w:afterAutospacing="0"/>
        <w:ind w:left="-500" w:right="-50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2.Hazard identification</w:t>
      </w:r>
    </w:p>
    <w:p w14:paraId="65F5F42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2.1Classification of the substance or mixture</w:t>
      </w:r>
    </w:p>
    <w:p w14:paraId="767225A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Skin irritation, Category 2</w:t>
      </w:r>
    </w:p>
    <w:p w14:paraId="2229482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Skin sensitization, Category 1</w:t>
      </w:r>
    </w:p>
    <w:p w14:paraId="07D33C57">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Eye irritation, Category 2</w:t>
      </w:r>
    </w:p>
    <w:p w14:paraId="363AEBBA">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Hazardous to the aquatic environment, long-term (Chronic) - Category Chronic 2</w:t>
      </w:r>
    </w:p>
    <w:p w14:paraId="7E0E78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2.2GHS label elements, including precautionary statements</w:t>
      </w:r>
    </w:p>
    <w:tbl>
      <w:tblPr>
        <w:tblStyle w:val="8"/>
        <w:tblW w:w="76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282"/>
        <w:gridCol w:w="5325"/>
      </w:tblGrid>
      <w:tr w14:paraId="343AA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15CE2E90">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Pictogram(s)</w:t>
            </w:r>
          </w:p>
        </w:tc>
        <w:tc>
          <w:tcPr>
            <w:tcW w:w="5325" w:type="dxa"/>
            <w:tcBorders>
              <w:top w:val="nil"/>
              <w:left w:val="nil"/>
              <w:bottom w:val="nil"/>
              <w:right w:val="nil"/>
            </w:tcBorders>
            <w:shd w:val="clear" w:color="auto" w:fill="FFFFFF"/>
            <w:vAlign w:val="top"/>
          </w:tcPr>
          <w:p w14:paraId="43F05DE5">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drawing>
                <wp:inline distT="0" distB="0" distL="114300" distR="114300">
                  <wp:extent cx="857250" cy="857250"/>
                  <wp:effectExtent l="0" t="0" r="6350" b="6350"/>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857250" cy="857250"/>
                          </a:xfrm>
                          <a:prstGeom prst="rect">
                            <a:avLst/>
                          </a:prstGeom>
                          <a:noFill/>
                          <a:ln w="9525">
                            <a:noFill/>
                          </a:ln>
                        </pic:spPr>
                      </pic:pic>
                    </a:graphicData>
                  </a:graphic>
                </wp:inline>
              </w:drawing>
            </w:r>
            <w:r>
              <w:rPr>
                <w:rFonts w:hint="default" w:ascii="Arial" w:hAnsi="Arial" w:eastAsia="Arial" w:cs="Arial"/>
                <w:i w:val="0"/>
                <w:iCs w:val="0"/>
                <w:caps w:val="0"/>
                <w:snapToGrid w:val="0"/>
                <w:color w:val="000000"/>
                <w:spacing w:val="0"/>
                <w:kern w:val="0"/>
                <w:sz w:val="13"/>
                <w:szCs w:val="13"/>
                <w:lang w:val="en-US" w:eastAsia="zh-CN" w:bidi="ar"/>
              </w:rPr>
              <w:t> </w:t>
            </w:r>
            <w:r>
              <w:rPr>
                <w:rFonts w:hint="default" w:ascii="Arial" w:hAnsi="Arial" w:eastAsia="Arial" w:cs="Arial"/>
                <w:i w:val="0"/>
                <w:iCs w:val="0"/>
                <w:caps w:val="0"/>
                <w:snapToGrid w:val="0"/>
                <w:color w:val="000000"/>
                <w:spacing w:val="0"/>
                <w:kern w:val="0"/>
                <w:sz w:val="13"/>
                <w:szCs w:val="13"/>
                <w:lang w:val="en-US" w:eastAsia="zh-CN" w:bidi="ar"/>
              </w:rPr>
              <w:drawing>
                <wp:inline distT="0" distB="0" distL="114300" distR="114300">
                  <wp:extent cx="857250" cy="857250"/>
                  <wp:effectExtent l="0" t="0" r="6350" b="635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9"/>
                          <a:stretch>
                            <a:fillRect/>
                          </a:stretch>
                        </pic:blipFill>
                        <pic:spPr>
                          <a:xfrm>
                            <a:off x="0" y="0"/>
                            <a:ext cx="857250" cy="857250"/>
                          </a:xfrm>
                          <a:prstGeom prst="rect">
                            <a:avLst/>
                          </a:prstGeom>
                          <a:noFill/>
                          <a:ln w="9525">
                            <a:noFill/>
                          </a:ln>
                        </pic:spPr>
                      </pic:pic>
                    </a:graphicData>
                  </a:graphic>
                </wp:inline>
              </w:drawing>
            </w:r>
          </w:p>
        </w:tc>
      </w:tr>
      <w:tr w14:paraId="419DF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6BA1010C">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Signal word</w:t>
            </w:r>
          </w:p>
        </w:tc>
        <w:tc>
          <w:tcPr>
            <w:tcW w:w="5325" w:type="dxa"/>
            <w:tcBorders>
              <w:top w:val="nil"/>
              <w:left w:val="nil"/>
              <w:bottom w:val="nil"/>
              <w:right w:val="nil"/>
            </w:tcBorders>
            <w:shd w:val="clear" w:color="auto" w:fill="FFFFFF"/>
            <w:vAlign w:val="top"/>
          </w:tcPr>
          <w:p w14:paraId="23CBBAE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Warning</w:t>
            </w:r>
          </w:p>
        </w:tc>
      </w:tr>
      <w:tr w14:paraId="38D7B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7F1EEA3E">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Hazard statement(s)</w:t>
            </w:r>
          </w:p>
        </w:tc>
        <w:tc>
          <w:tcPr>
            <w:tcW w:w="5325" w:type="dxa"/>
            <w:tcBorders>
              <w:top w:val="nil"/>
              <w:left w:val="nil"/>
              <w:bottom w:val="nil"/>
              <w:right w:val="nil"/>
            </w:tcBorders>
            <w:shd w:val="clear" w:color="auto" w:fill="FFFFFF"/>
            <w:vAlign w:val="top"/>
          </w:tcPr>
          <w:p w14:paraId="26D6F1C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H315 Causes skin irritation</w:t>
            </w:r>
          </w:p>
          <w:p w14:paraId="66AC3B8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H317 May cause an allergic skin reaction</w:t>
            </w:r>
          </w:p>
          <w:p w14:paraId="1468EADC">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H319 Causes serious eye irritation</w:t>
            </w:r>
          </w:p>
          <w:p w14:paraId="1562E0B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H411 Toxic to aquatic life with long lasting effects</w:t>
            </w:r>
          </w:p>
        </w:tc>
      </w:tr>
      <w:tr w14:paraId="3D767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0DE37618">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Precautionary statement(s)</w:t>
            </w:r>
          </w:p>
        </w:tc>
        <w:tc>
          <w:tcPr>
            <w:tcW w:w="5325" w:type="dxa"/>
            <w:tcBorders>
              <w:top w:val="nil"/>
              <w:left w:val="nil"/>
              <w:bottom w:val="nil"/>
              <w:right w:val="nil"/>
            </w:tcBorders>
            <w:shd w:val="clear" w:color="auto" w:fill="FFFFFF"/>
            <w:vAlign w:val="top"/>
          </w:tcPr>
          <w:p w14:paraId="10382948">
            <w:pPr>
              <w:jc w:val="left"/>
              <w:rPr>
                <w:rFonts w:hint="default" w:ascii="Arial" w:hAnsi="Arial" w:eastAsia="Arial" w:cs="Arial"/>
                <w:i w:val="0"/>
                <w:iCs w:val="0"/>
                <w:caps w:val="0"/>
                <w:color w:val="000000"/>
                <w:spacing w:val="0"/>
                <w:sz w:val="13"/>
                <w:szCs w:val="13"/>
              </w:rPr>
            </w:pPr>
          </w:p>
        </w:tc>
      </w:tr>
      <w:tr w14:paraId="29905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7CBC1DF1">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Prevention</w:t>
            </w:r>
          </w:p>
        </w:tc>
        <w:tc>
          <w:tcPr>
            <w:tcW w:w="5325" w:type="dxa"/>
            <w:tcBorders>
              <w:top w:val="nil"/>
              <w:left w:val="nil"/>
              <w:bottom w:val="nil"/>
              <w:right w:val="nil"/>
            </w:tcBorders>
            <w:shd w:val="clear" w:color="auto" w:fill="FFFFFF"/>
            <w:vAlign w:val="top"/>
          </w:tcPr>
          <w:p w14:paraId="417A6E8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P264 Wash ... thoroughly after handling.</w:t>
            </w:r>
          </w:p>
          <w:p w14:paraId="2093B05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P280 Wear protective gloves/protective clothing/eye protection/face protection.</w:t>
            </w:r>
          </w:p>
          <w:p w14:paraId="44C99469">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P261 Avoid breathing dust/fume/gas/mist/vapours/spray.</w:t>
            </w:r>
          </w:p>
          <w:p w14:paraId="0733C47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P272 Contaminated work clothing should not be allowed out of the workplace.</w:t>
            </w:r>
          </w:p>
          <w:p w14:paraId="0B22A9C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P273 Avoid release to the environment.</w:t>
            </w:r>
          </w:p>
        </w:tc>
      </w:tr>
      <w:tr w14:paraId="06821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7E13B31B">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Response</w:t>
            </w:r>
          </w:p>
        </w:tc>
        <w:tc>
          <w:tcPr>
            <w:tcW w:w="5325" w:type="dxa"/>
            <w:tcBorders>
              <w:top w:val="nil"/>
              <w:left w:val="nil"/>
              <w:bottom w:val="nil"/>
              <w:right w:val="nil"/>
            </w:tcBorders>
            <w:shd w:val="clear" w:color="auto" w:fill="FFFFFF"/>
            <w:vAlign w:val="top"/>
          </w:tcPr>
          <w:p w14:paraId="305F9A3C">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P302+P352 IF ON SKIN: Wash with plenty of water/...</w:t>
            </w:r>
          </w:p>
          <w:p w14:paraId="2C03372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P321 Specific treatment (see ... on this label).</w:t>
            </w:r>
          </w:p>
          <w:p w14:paraId="660320D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P332+P313 If skin irritation occurs: Get medical advice/attention.</w:t>
            </w:r>
          </w:p>
          <w:p w14:paraId="3C9FB59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P362+P364 Take off contaminated clothing and wash it before reuse.</w:t>
            </w:r>
          </w:p>
          <w:p w14:paraId="062A4E1B">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P333+P313 If skin irritation or rash occurs: Get medical advice/attention.</w:t>
            </w:r>
          </w:p>
          <w:p w14:paraId="02059F4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P305+P351+P338 IF IN EYES: Rinse cautiously with water for several minutes. Remove contact lenses, if present and easy to do. Continue rinsing.</w:t>
            </w:r>
          </w:p>
          <w:p w14:paraId="7112643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P337+P313 If eye irritation persists: Get medical advice/attention.</w:t>
            </w:r>
          </w:p>
          <w:p w14:paraId="6FCFD4FC">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P391 Collect spillage.</w:t>
            </w:r>
          </w:p>
        </w:tc>
      </w:tr>
      <w:tr w14:paraId="2602A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64C945C5">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Storage</w:t>
            </w:r>
          </w:p>
        </w:tc>
        <w:tc>
          <w:tcPr>
            <w:tcW w:w="5325" w:type="dxa"/>
            <w:tcBorders>
              <w:top w:val="nil"/>
              <w:left w:val="nil"/>
              <w:bottom w:val="nil"/>
              <w:right w:val="nil"/>
            </w:tcBorders>
            <w:shd w:val="clear" w:color="auto" w:fill="FFFFFF"/>
            <w:vAlign w:val="top"/>
          </w:tcPr>
          <w:p w14:paraId="503EE98C">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none</w:t>
            </w:r>
          </w:p>
        </w:tc>
      </w:tr>
      <w:tr w14:paraId="41687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6229C915">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Disposal</w:t>
            </w:r>
          </w:p>
        </w:tc>
        <w:tc>
          <w:tcPr>
            <w:tcW w:w="5325" w:type="dxa"/>
            <w:tcBorders>
              <w:top w:val="nil"/>
              <w:left w:val="nil"/>
              <w:bottom w:val="nil"/>
              <w:right w:val="nil"/>
            </w:tcBorders>
            <w:shd w:val="clear" w:color="auto" w:fill="FFFFFF"/>
            <w:vAlign w:val="top"/>
          </w:tcPr>
          <w:p w14:paraId="021CAB8B">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line="10" w:lineRule="atLeast"/>
              <w:ind w:left="0" w:right="0"/>
              <w:jc w:val="left"/>
              <w:rPr>
                <w:rFonts w:hint="default" w:ascii="Arial" w:hAnsi="Arial" w:eastAsia="Arial" w:cs="Arial"/>
                <w:color w:val="000000"/>
                <w:sz w:val="13"/>
                <w:szCs w:val="13"/>
              </w:rPr>
            </w:pPr>
            <w:r>
              <w:rPr>
                <w:rFonts w:hint="default" w:ascii="Arial" w:hAnsi="Arial" w:eastAsia="Arial" w:cs="Arial"/>
                <w:i w:val="0"/>
                <w:iCs w:val="0"/>
                <w:caps w:val="0"/>
                <w:color w:val="000000"/>
                <w:spacing w:val="0"/>
                <w:sz w:val="13"/>
                <w:szCs w:val="13"/>
              </w:rPr>
              <w:t>P501 Dispose of contents/container to ...</w:t>
            </w:r>
          </w:p>
        </w:tc>
      </w:tr>
    </w:tbl>
    <w:p w14:paraId="0E8A33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2.3Other hazards which do not result in classification</w:t>
      </w:r>
    </w:p>
    <w:p w14:paraId="0392A58A">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none</w:t>
      </w:r>
    </w:p>
    <w:p w14:paraId="05D9D023">
      <w:pPr>
        <w:pStyle w:val="2"/>
        <w:keepNext w:val="0"/>
        <w:keepLines w:val="0"/>
        <w:widowControl/>
        <w:suppressLineNumbers w:val="0"/>
        <w:pBdr>
          <w:top w:val="single" w:color="auto" w:sz="4" w:space="0"/>
          <w:left w:val="none" w:color="auto" w:sz="0" w:space="0"/>
          <w:bottom w:val="none" w:color="auto" w:sz="0" w:space="0"/>
          <w:right w:val="none" w:color="auto" w:sz="0" w:space="0"/>
        </w:pBdr>
        <w:shd w:val="clear" w:fill="FFFFFF"/>
        <w:spacing w:before="100" w:beforeAutospacing="0" w:after="100" w:afterAutospacing="0"/>
        <w:ind w:left="-500" w:right="-50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3.Composition/information on ingredients</w:t>
      </w:r>
    </w:p>
    <w:p w14:paraId="4639497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shd w:val="clear" w:fill="FFFFFF"/>
        </w:rPr>
      </w:pPr>
    </w:p>
    <w:p w14:paraId="18C6CED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shd w:val="clear" w:fill="FFFFFF"/>
        </w:rPr>
      </w:pPr>
    </w:p>
    <w:p w14:paraId="09A7AA0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3.1Substances</w:t>
      </w:r>
    </w:p>
    <w:tbl>
      <w:tblPr>
        <w:tblStyle w:val="8"/>
        <w:tblW w:w="76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768"/>
        <w:gridCol w:w="2768"/>
        <w:gridCol w:w="608"/>
        <w:gridCol w:w="571"/>
        <w:gridCol w:w="892"/>
      </w:tblGrid>
      <w:tr w14:paraId="72426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21508F">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Chemical name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EBF1E0">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Common names and synonyms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5EF621">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CAS number</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DD48BA">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EC number</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2FDFA5">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Concentration</w:t>
            </w:r>
          </w:p>
        </w:tc>
      </w:tr>
      <w:tr w14:paraId="08A93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19F004">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2,2’-[(1-methylethylidene)bis(4,1-phenyleneoxymethylene)]bis-oxiranhomopol</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FE537B">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2,2’-[(1-methylethylidene)bis(4,1-phenyleneoxymethylene)]bis-oxiranhomopol</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931127">
            <w:pPr>
              <w:keepNext w:val="0"/>
              <w:keepLines w:val="0"/>
              <w:widowControl/>
              <w:suppressLineNumbers w:val="0"/>
              <w:spacing w:before="0" w:beforeAutospacing="0" w:after="0" w:afterAutospacing="0" w:line="315" w:lineRule="atLeast"/>
              <w:ind w:left="0" w:right="0"/>
              <w:jc w:val="center"/>
              <w:rPr>
                <w:rFonts w:hint="default" w:ascii="Arial" w:hAnsi="Arial" w:eastAsia="宋体" w:cs="Arial"/>
                <w:i w:val="0"/>
                <w:iCs w:val="0"/>
                <w:caps w:val="0"/>
                <w:color w:val="000000"/>
                <w:spacing w:val="0"/>
                <w:sz w:val="13"/>
                <w:szCs w:val="13"/>
                <w:lang w:val="en-US" w:eastAsia="zh-CN"/>
              </w:rPr>
            </w:pPr>
            <w:r>
              <w:rPr>
                <w:rFonts w:hint="eastAsia" w:eastAsia="宋体" w:cs="Arial"/>
                <w:i w:val="0"/>
                <w:iCs w:val="0"/>
                <w:caps w:val="0"/>
                <w:color w:val="000000"/>
                <w:spacing w:val="0"/>
                <w:sz w:val="13"/>
                <w:szCs w:val="13"/>
                <w:lang w:val="en-US" w:eastAsia="zh-CN"/>
              </w:rPr>
              <w:t>55818-57-0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D66157">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none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2AA005">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100%</w:t>
            </w:r>
          </w:p>
        </w:tc>
      </w:tr>
    </w:tbl>
    <w:p w14:paraId="3EAEAF81">
      <w:pPr>
        <w:pStyle w:val="2"/>
        <w:keepNext w:val="0"/>
        <w:keepLines w:val="0"/>
        <w:widowControl/>
        <w:suppressLineNumbers w:val="0"/>
        <w:pBdr>
          <w:top w:val="single" w:color="auto" w:sz="4" w:space="0"/>
          <w:left w:val="none" w:color="auto" w:sz="0" w:space="0"/>
          <w:bottom w:val="none" w:color="auto" w:sz="0" w:space="0"/>
          <w:right w:val="none" w:color="auto" w:sz="0" w:space="0"/>
        </w:pBdr>
        <w:shd w:val="clear" w:fill="FFFFFF"/>
        <w:spacing w:before="100" w:beforeAutospacing="0" w:after="100" w:afterAutospacing="0"/>
        <w:ind w:left="-500" w:right="-50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4.First-aid measures</w:t>
      </w:r>
    </w:p>
    <w:p w14:paraId="14DD24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4.1Description of necessary first-aid measures</w:t>
      </w:r>
    </w:p>
    <w:p w14:paraId="12A7AB0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General advice</w:t>
      </w:r>
    </w:p>
    <w:p w14:paraId="52BEBD8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Consult a physician. Show this safety data sheet to the doctor in attendance.</w:t>
      </w:r>
    </w:p>
    <w:p w14:paraId="0274968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If inhaled</w:t>
      </w:r>
    </w:p>
    <w:p w14:paraId="162B3CEA">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If breathed in, move person into fresh air. If not breathing, give artificial respiration. Consult a physician.</w:t>
      </w:r>
    </w:p>
    <w:p w14:paraId="2573890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In case of skin contact</w:t>
      </w:r>
    </w:p>
    <w:p w14:paraId="200C9B9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Wash off with soap and plenty of water. Consult a physician.</w:t>
      </w:r>
    </w:p>
    <w:p w14:paraId="619D9D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In case of eye contact</w:t>
      </w:r>
    </w:p>
    <w:p w14:paraId="76347A6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Rinse thoroughly with plenty of water for at least 15 minutes and consult a physician.</w:t>
      </w:r>
    </w:p>
    <w:p w14:paraId="22FA79E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If swallowed</w:t>
      </w:r>
    </w:p>
    <w:p w14:paraId="0605DBCC">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Never give anything by mouth to an unconscious person. Rinse mouth with water. Consult a physician.</w:t>
      </w:r>
    </w:p>
    <w:p w14:paraId="70264A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4.2Most important symptoms/effects, acute and delayed</w:t>
      </w:r>
    </w:p>
    <w:p w14:paraId="7BF2914D">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689865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4.3Indication of immediate medical attention and special treatment needed, if necessary</w:t>
      </w:r>
    </w:p>
    <w:p w14:paraId="6E7D7BD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616F00C7">
      <w:pPr>
        <w:pStyle w:val="2"/>
        <w:keepNext w:val="0"/>
        <w:keepLines w:val="0"/>
        <w:widowControl/>
        <w:suppressLineNumbers w:val="0"/>
        <w:pBdr>
          <w:top w:val="single" w:color="auto" w:sz="4" w:space="0"/>
          <w:left w:val="none" w:color="auto" w:sz="0" w:space="0"/>
          <w:bottom w:val="none" w:color="auto" w:sz="0" w:space="0"/>
          <w:right w:val="none" w:color="auto" w:sz="0" w:space="0"/>
        </w:pBdr>
        <w:shd w:val="clear" w:fill="FFFFFF"/>
        <w:spacing w:before="100" w:beforeAutospacing="0" w:after="100" w:afterAutospacing="0"/>
        <w:ind w:left="-500" w:right="-50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5.Fire-fighting measures</w:t>
      </w:r>
    </w:p>
    <w:p w14:paraId="6AE5C3C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5.1Extinguishing media</w:t>
      </w:r>
    </w:p>
    <w:p w14:paraId="4F03EF3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Suitable extinguishing media</w:t>
      </w:r>
    </w:p>
    <w:p w14:paraId="5F6F3DC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Use water spray, alcohol-resistant foam, dry chemical or carbon dioxide.</w:t>
      </w:r>
    </w:p>
    <w:p w14:paraId="4CA3D2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5.2Specific hazards arising from the chemical</w:t>
      </w:r>
    </w:p>
    <w:p w14:paraId="177EF87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3FDE9C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5.3Special protective actions for fire-fighters</w:t>
      </w:r>
    </w:p>
    <w:p w14:paraId="05AA1CC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Wear self-contained breathing apparatus for firefighting if necessary.</w:t>
      </w:r>
    </w:p>
    <w:p w14:paraId="3CD047E0">
      <w:pPr>
        <w:pStyle w:val="2"/>
        <w:keepNext w:val="0"/>
        <w:keepLines w:val="0"/>
        <w:widowControl/>
        <w:suppressLineNumbers w:val="0"/>
        <w:pBdr>
          <w:top w:val="single" w:color="auto" w:sz="4" w:space="0"/>
          <w:left w:val="none" w:color="auto" w:sz="0" w:space="0"/>
          <w:bottom w:val="none" w:color="auto" w:sz="0" w:space="0"/>
          <w:right w:val="none" w:color="auto" w:sz="0" w:space="0"/>
        </w:pBdr>
        <w:shd w:val="clear" w:fill="FFFFFF"/>
        <w:spacing w:before="100" w:beforeAutospacing="0" w:after="100" w:afterAutospacing="0"/>
        <w:ind w:left="-500" w:right="-50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6.Accidental release measures</w:t>
      </w:r>
    </w:p>
    <w:p w14:paraId="1A20AE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6.1Personal precautions, protective equipment and emergency procedures</w:t>
      </w:r>
    </w:p>
    <w:p w14:paraId="300C18E7">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Use personal protective equipment. Avoid dust formation. Avoid breathing vapours, mist or gas. Ensure adequate ventilation. Evacuate personnel to safe areas. Avoid breathing dust. For personal protection see section 8.</w:t>
      </w:r>
    </w:p>
    <w:p w14:paraId="02460D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6.2Environmental precautions</w:t>
      </w:r>
    </w:p>
    <w:p w14:paraId="7154015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Prevent further leakage or spillage if safe to do so. Do not let product enter drains. Discharge into the environment must be avoided.</w:t>
      </w:r>
    </w:p>
    <w:p w14:paraId="44AADC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6.3Methods and materials for containment and cleaning up</w:t>
      </w:r>
    </w:p>
    <w:p w14:paraId="2A94677C">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Pick up and arrange disposal. Sweep up and shovel. Keep in suitable, closed containers for disposal.</w:t>
      </w:r>
    </w:p>
    <w:p w14:paraId="6E534C73">
      <w:pPr>
        <w:pStyle w:val="2"/>
        <w:keepNext w:val="0"/>
        <w:keepLines w:val="0"/>
        <w:widowControl/>
        <w:suppressLineNumbers w:val="0"/>
        <w:pBdr>
          <w:top w:val="single" w:color="auto" w:sz="4" w:space="0"/>
          <w:left w:val="none" w:color="auto" w:sz="0" w:space="0"/>
          <w:bottom w:val="none" w:color="auto" w:sz="0" w:space="0"/>
          <w:right w:val="none" w:color="auto" w:sz="0" w:space="0"/>
        </w:pBdr>
        <w:shd w:val="clear" w:fill="FFFFFF"/>
        <w:spacing w:before="100" w:beforeAutospacing="0" w:after="100" w:afterAutospacing="0"/>
        <w:ind w:left="-500" w:right="-50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7.Handling and storage</w:t>
      </w:r>
    </w:p>
    <w:p w14:paraId="6918A7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7.1Precautions for safe handling</w:t>
      </w:r>
    </w:p>
    <w:p w14:paraId="634AADE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Avoid contact with skin and eyes. Avoid formation of dust and aerosols. Avoid exposure - obtain special instructions before use.Provide appropriate exhaust ventilation at places where dust is formed. For precautions see section 2.2.</w:t>
      </w:r>
    </w:p>
    <w:p w14:paraId="57F5449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7.2Conditions for safe storage, including any incompatibilities</w:t>
      </w:r>
    </w:p>
    <w:p w14:paraId="16D46CD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Store in cool place. Keep container tightly closed in a dry and well-ventilated place.</w:t>
      </w:r>
    </w:p>
    <w:p w14:paraId="1B4D804B">
      <w:pPr>
        <w:pStyle w:val="2"/>
        <w:keepNext w:val="0"/>
        <w:keepLines w:val="0"/>
        <w:widowControl/>
        <w:suppressLineNumbers w:val="0"/>
        <w:pBdr>
          <w:top w:val="single" w:color="auto" w:sz="4" w:space="0"/>
          <w:left w:val="none" w:color="auto" w:sz="0" w:space="0"/>
          <w:bottom w:val="none" w:color="auto" w:sz="0" w:space="0"/>
          <w:right w:val="none" w:color="auto" w:sz="0" w:space="0"/>
        </w:pBdr>
        <w:shd w:val="clear" w:fill="FFFFFF"/>
        <w:spacing w:before="100" w:beforeAutospacing="0" w:after="100" w:afterAutospacing="0"/>
        <w:ind w:left="-500" w:right="-50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8.Exposure controls/personal protection</w:t>
      </w:r>
    </w:p>
    <w:p w14:paraId="238D14D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8.1Control parameters</w:t>
      </w:r>
    </w:p>
    <w:p w14:paraId="5DB0CB6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Occupational Exposure limit values</w:t>
      </w:r>
    </w:p>
    <w:p w14:paraId="3625A21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5E0835D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Biological limit values</w:t>
      </w:r>
    </w:p>
    <w:p w14:paraId="5206B73D">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1F328FF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8.2Appropriate engineering controls</w:t>
      </w:r>
    </w:p>
    <w:p w14:paraId="146667A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Handle in accordance with good industrial hygiene and safety practice. Wash hands before breaks and at the end of workday.</w:t>
      </w:r>
    </w:p>
    <w:p w14:paraId="41B896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8.3Individual protection measures, such as personal protective equipment (PPE)</w:t>
      </w:r>
    </w:p>
    <w:p w14:paraId="70DA428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Eye/face protection</w:t>
      </w:r>
    </w:p>
    <w:p w14:paraId="6716ACC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Safety glasses with side-shields conforming to EN166. Use equipment for eye protection tested and approved under appropriate government standards such as NIOSH (US) or EN 166(EU).</w:t>
      </w:r>
    </w:p>
    <w:p w14:paraId="4D6006B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Skin protection</w:t>
      </w:r>
    </w:p>
    <w:p w14:paraId="13515AD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Wear impervious clothing. The type of protective equipment must be selected according to the concentration and amount of the dangerous substance at the specific workplace. Handle with gloves. Gloves must be inspected prior to use. Use proper glove removal technique(without touching glove's outer surface) to avoid skin contact with this product. Dispose of contaminated gloves after use in accordance with applicable laws and good laboratory practices. Wash and dry hands. The selected protective gloves have to satisfy the specifications of EU Directive 89/686/EEC and the standard EN 374 derived from it.</w:t>
      </w:r>
    </w:p>
    <w:p w14:paraId="619A674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Respiratory protection</w:t>
      </w:r>
    </w:p>
    <w:p w14:paraId="4E0F718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Wear dust mask when handling large quantities.</w:t>
      </w:r>
    </w:p>
    <w:p w14:paraId="7AC1AE4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Thermal hazards</w:t>
      </w:r>
    </w:p>
    <w:p w14:paraId="4C6DBA4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6872800A">
      <w:pPr>
        <w:pStyle w:val="2"/>
        <w:keepNext w:val="0"/>
        <w:keepLines w:val="0"/>
        <w:widowControl/>
        <w:suppressLineNumbers w:val="0"/>
        <w:pBdr>
          <w:top w:val="single" w:color="auto" w:sz="4" w:space="0"/>
          <w:left w:val="none" w:color="auto" w:sz="0" w:space="0"/>
          <w:bottom w:val="none" w:color="auto" w:sz="0" w:space="0"/>
          <w:right w:val="none" w:color="auto" w:sz="0" w:space="0"/>
        </w:pBdr>
        <w:shd w:val="clear" w:fill="FFFFFF"/>
        <w:spacing w:before="100" w:beforeAutospacing="0" w:after="100" w:afterAutospacing="0"/>
        <w:ind w:left="-500" w:right="-50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9.Physical and chemical properties</w:t>
      </w:r>
    </w:p>
    <w:tbl>
      <w:tblPr>
        <w:tblStyle w:val="8"/>
        <w:tblW w:w="76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282"/>
        <w:gridCol w:w="5325"/>
      </w:tblGrid>
      <w:tr w14:paraId="3C596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43FA8EE3">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Physical state</w:t>
            </w:r>
          </w:p>
        </w:tc>
        <w:tc>
          <w:tcPr>
            <w:tcW w:w="5325" w:type="dxa"/>
            <w:tcBorders>
              <w:top w:val="nil"/>
              <w:left w:val="nil"/>
              <w:bottom w:val="nil"/>
              <w:right w:val="nil"/>
            </w:tcBorders>
            <w:shd w:val="clear" w:color="auto" w:fill="FFFFFF"/>
            <w:vAlign w:val="top"/>
          </w:tcPr>
          <w:p w14:paraId="619B8DCD">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r w14:paraId="53ED8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124E1429">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Colour</w:t>
            </w:r>
          </w:p>
        </w:tc>
        <w:tc>
          <w:tcPr>
            <w:tcW w:w="5325" w:type="dxa"/>
            <w:tcBorders>
              <w:top w:val="nil"/>
              <w:left w:val="nil"/>
              <w:bottom w:val="nil"/>
              <w:right w:val="nil"/>
            </w:tcBorders>
            <w:shd w:val="clear" w:color="auto" w:fill="FFFFFF"/>
            <w:vAlign w:val="top"/>
          </w:tcPr>
          <w:p w14:paraId="59883332">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r w14:paraId="31E84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109422C3">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Odour</w:t>
            </w:r>
          </w:p>
        </w:tc>
        <w:tc>
          <w:tcPr>
            <w:tcW w:w="5325" w:type="dxa"/>
            <w:tcBorders>
              <w:top w:val="nil"/>
              <w:left w:val="nil"/>
              <w:bottom w:val="nil"/>
              <w:right w:val="nil"/>
            </w:tcBorders>
            <w:shd w:val="clear" w:color="auto" w:fill="FFFFFF"/>
            <w:vAlign w:val="top"/>
          </w:tcPr>
          <w:p w14:paraId="365A572E">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r w14:paraId="135E3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7B137533">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Melting point/ freezing point</w:t>
            </w:r>
          </w:p>
        </w:tc>
        <w:tc>
          <w:tcPr>
            <w:tcW w:w="5325" w:type="dxa"/>
            <w:tcBorders>
              <w:top w:val="nil"/>
              <w:left w:val="nil"/>
              <w:bottom w:val="nil"/>
              <w:right w:val="nil"/>
            </w:tcBorders>
            <w:shd w:val="clear" w:color="auto" w:fill="FFFFFF"/>
            <w:vAlign w:val="top"/>
          </w:tcPr>
          <w:p w14:paraId="51A19BC3">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r w14:paraId="67F1D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2A29D214">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Boiling point or initial boiling point and boiling range</w:t>
            </w:r>
          </w:p>
        </w:tc>
        <w:tc>
          <w:tcPr>
            <w:tcW w:w="5325" w:type="dxa"/>
            <w:tcBorders>
              <w:top w:val="nil"/>
              <w:left w:val="nil"/>
              <w:bottom w:val="nil"/>
              <w:right w:val="nil"/>
            </w:tcBorders>
            <w:shd w:val="clear" w:color="auto" w:fill="FFFFFF"/>
            <w:vAlign w:val="top"/>
          </w:tcPr>
          <w:p w14:paraId="29B5A295">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r w14:paraId="71263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71456C78">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Flammability</w:t>
            </w:r>
          </w:p>
        </w:tc>
        <w:tc>
          <w:tcPr>
            <w:tcW w:w="5325" w:type="dxa"/>
            <w:tcBorders>
              <w:top w:val="nil"/>
              <w:left w:val="nil"/>
              <w:bottom w:val="nil"/>
              <w:right w:val="nil"/>
            </w:tcBorders>
            <w:shd w:val="clear" w:color="auto" w:fill="FFFFFF"/>
            <w:vAlign w:val="top"/>
          </w:tcPr>
          <w:p w14:paraId="0D4716D1">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r w14:paraId="377E2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3ED61DB0">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Lower and upper explosion limit / flammability limit</w:t>
            </w:r>
          </w:p>
        </w:tc>
        <w:tc>
          <w:tcPr>
            <w:tcW w:w="5325" w:type="dxa"/>
            <w:tcBorders>
              <w:top w:val="nil"/>
              <w:left w:val="nil"/>
              <w:bottom w:val="nil"/>
              <w:right w:val="nil"/>
            </w:tcBorders>
            <w:shd w:val="clear" w:color="auto" w:fill="FFFFFF"/>
            <w:vAlign w:val="top"/>
          </w:tcPr>
          <w:p w14:paraId="731B5D12">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r w14:paraId="7F915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620D851A">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Flash point</w:t>
            </w:r>
          </w:p>
        </w:tc>
        <w:tc>
          <w:tcPr>
            <w:tcW w:w="5325" w:type="dxa"/>
            <w:tcBorders>
              <w:top w:val="nil"/>
              <w:left w:val="nil"/>
              <w:bottom w:val="nil"/>
              <w:right w:val="nil"/>
            </w:tcBorders>
            <w:shd w:val="clear" w:color="auto" w:fill="FFFFFF"/>
            <w:vAlign w:val="top"/>
          </w:tcPr>
          <w:p w14:paraId="6195AB42">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r w14:paraId="6071E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287459D8">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Auto-ignition temperature</w:t>
            </w:r>
          </w:p>
        </w:tc>
        <w:tc>
          <w:tcPr>
            <w:tcW w:w="5325" w:type="dxa"/>
            <w:tcBorders>
              <w:top w:val="nil"/>
              <w:left w:val="nil"/>
              <w:bottom w:val="nil"/>
              <w:right w:val="nil"/>
            </w:tcBorders>
            <w:shd w:val="clear" w:color="auto" w:fill="FFFFFF"/>
            <w:vAlign w:val="top"/>
          </w:tcPr>
          <w:p w14:paraId="2E2EBBD6">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r w14:paraId="3C906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30A756C1">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Decomposition temperature</w:t>
            </w:r>
          </w:p>
        </w:tc>
        <w:tc>
          <w:tcPr>
            <w:tcW w:w="5325" w:type="dxa"/>
            <w:tcBorders>
              <w:top w:val="nil"/>
              <w:left w:val="nil"/>
              <w:bottom w:val="nil"/>
              <w:right w:val="nil"/>
            </w:tcBorders>
            <w:shd w:val="clear" w:color="auto" w:fill="FFFFFF"/>
            <w:vAlign w:val="top"/>
          </w:tcPr>
          <w:p w14:paraId="29A9BF51">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r w14:paraId="45BAC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102CB4A0">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pH</w:t>
            </w:r>
          </w:p>
        </w:tc>
        <w:tc>
          <w:tcPr>
            <w:tcW w:w="5325" w:type="dxa"/>
            <w:tcBorders>
              <w:top w:val="nil"/>
              <w:left w:val="nil"/>
              <w:bottom w:val="nil"/>
              <w:right w:val="nil"/>
            </w:tcBorders>
            <w:shd w:val="clear" w:color="auto" w:fill="FFFFFF"/>
            <w:vAlign w:val="top"/>
          </w:tcPr>
          <w:p w14:paraId="4F72C9EA">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r w14:paraId="056E5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082CF3BF">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Kinematic viscosity</w:t>
            </w:r>
          </w:p>
        </w:tc>
        <w:tc>
          <w:tcPr>
            <w:tcW w:w="5325" w:type="dxa"/>
            <w:tcBorders>
              <w:top w:val="nil"/>
              <w:left w:val="nil"/>
              <w:bottom w:val="nil"/>
              <w:right w:val="nil"/>
            </w:tcBorders>
            <w:shd w:val="clear" w:color="auto" w:fill="FFFFFF"/>
            <w:vAlign w:val="top"/>
          </w:tcPr>
          <w:p w14:paraId="63D50FA5">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r w14:paraId="3AFF9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6623027E">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Solubility</w:t>
            </w:r>
          </w:p>
        </w:tc>
        <w:tc>
          <w:tcPr>
            <w:tcW w:w="5325" w:type="dxa"/>
            <w:tcBorders>
              <w:top w:val="nil"/>
              <w:left w:val="nil"/>
              <w:bottom w:val="nil"/>
              <w:right w:val="nil"/>
            </w:tcBorders>
            <w:shd w:val="clear" w:color="auto" w:fill="FFFFFF"/>
            <w:vAlign w:val="top"/>
          </w:tcPr>
          <w:p w14:paraId="733B316E">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r w14:paraId="266B4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584DC04F">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Partition coefficient n-octanol/water (log value)</w:t>
            </w:r>
          </w:p>
        </w:tc>
        <w:tc>
          <w:tcPr>
            <w:tcW w:w="5325" w:type="dxa"/>
            <w:tcBorders>
              <w:top w:val="nil"/>
              <w:left w:val="nil"/>
              <w:bottom w:val="nil"/>
              <w:right w:val="nil"/>
            </w:tcBorders>
            <w:shd w:val="clear" w:color="auto" w:fill="FFFFFF"/>
            <w:vAlign w:val="top"/>
          </w:tcPr>
          <w:p w14:paraId="33EB53DA">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r w14:paraId="50421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3599E584">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Vapour pressure</w:t>
            </w:r>
          </w:p>
        </w:tc>
        <w:tc>
          <w:tcPr>
            <w:tcW w:w="5325" w:type="dxa"/>
            <w:tcBorders>
              <w:top w:val="nil"/>
              <w:left w:val="nil"/>
              <w:bottom w:val="nil"/>
              <w:right w:val="nil"/>
            </w:tcBorders>
            <w:shd w:val="clear" w:color="auto" w:fill="FFFFFF"/>
            <w:vAlign w:val="top"/>
          </w:tcPr>
          <w:p w14:paraId="13EE1CF9">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r w14:paraId="5D9A9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4E418BD0">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Density and/or relative density</w:t>
            </w:r>
          </w:p>
        </w:tc>
        <w:tc>
          <w:tcPr>
            <w:tcW w:w="5325" w:type="dxa"/>
            <w:tcBorders>
              <w:top w:val="nil"/>
              <w:left w:val="nil"/>
              <w:bottom w:val="nil"/>
              <w:right w:val="nil"/>
            </w:tcBorders>
            <w:shd w:val="clear" w:color="auto" w:fill="FFFFFF"/>
            <w:vAlign w:val="top"/>
          </w:tcPr>
          <w:p w14:paraId="0E7A7462">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r w14:paraId="2DB6B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41B42F55">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Relative vapour density</w:t>
            </w:r>
          </w:p>
        </w:tc>
        <w:tc>
          <w:tcPr>
            <w:tcW w:w="5325" w:type="dxa"/>
            <w:tcBorders>
              <w:top w:val="nil"/>
              <w:left w:val="nil"/>
              <w:bottom w:val="nil"/>
              <w:right w:val="nil"/>
            </w:tcBorders>
            <w:shd w:val="clear" w:color="auto" w:fill="FFFFFF"/>
            <w:vAlign w:val="top"/>
          </w:tcPr>
          <w:p w14:paraId="1E19E9CB">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r w14:paraId="7EA31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1482137C">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Particle characteristics</w:t>
            </w:r>
          </w:p>
        </w:tc>
        <w:tc>
          <w:tcPr>
            <w:tcW w:w="5325" w:type="dxa"/>
            <w:tcBorders>
              <w:top w:val="nil"/>
              <w:left w:val="nil"/>
              <w:bottom w:val="nil"/>
              <w:right w:val="nil"/>
            </w:tcBorders>
            <w:shd w:val="clear" w:color="auto" w:fill="FFFFFF"/>
            <w:vAlign w:val="top"/>
          </w:tcPr>
          <w:p w14:paraId="6B629923">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 data available</w:t>
            </w:r>
          </w:p>
        </w:tc>
      </w:tr>
    </w:tbl>
    <w:p w14:paraId="160F9219">
      <w:pPr>
        <w:pStyle w:val="2"/>
        <w:keepNext w:val="0"/>
        <w:keepLines w:val="0"/>
        <w:widowControl/>
        <w:suppressLineNumbers w:val="0"/>
        <w:pBdr>
          <w:top w:val="single" w:color="auto" w:sz="4" w:space="0"/>
          <w:left w:val="none" w:color="auto" w:sz="0" w:space="0"/>
          <w:bottom w:val="none" w:color="auto" w:sz="0" w:space="0"/>
          <w:right w:val="none" w:color="auto" w:sz="0" w:space="0"/>
        </w:pBdr>
        <w:shd w:val="clear" w:fill="FFFFFF"/>
        <w:spacing w:before="100" w:beforeAutospacing="0" w:after="100" w:afterAutospacing="0"/>
        <w:ind w:left="-500" w:right="-50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10.Stability and reactivity</w:t>
      </w:r>
    </w:p>
    <w:p w14:paraId="318F08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10.1Reactivity</w:t>
      </w:r>
    </w:p>
    <w:p w14:paraId="270261B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05C0122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10.2Chemical stability</w:t>
      </w:r>
    </w:p>
    <w:p w14:paraId="7C87B7E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Stable under recommended storage conditions.</w:t>
      </w:r>
    </w:p>
    <w:p w14:paraId="1A36086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10.3Possibility of hazardous reactions</w:t>
      </w:r>
    </w:p>
    <w:p w14:paraId="469A7A0C">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4B0191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10.4Conditions to avoid</w:t>
      </w:r>
    </w:p>
    <w:p w14:paraId="37CA46F3">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63F3AC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10.5Incompatible materials</w:t>
      </w:r>
    </w:p>
    <w:p w14:paraId="4455C4E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729D29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10.6Hazardous decomposition products</w:t>
      </w:r>
    </w:p>
    <w:p w14:paraId="61FFBC6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6ADBAEF9">
      <w:pPr>
        <w:pStyle w:val="2"/>
        <w:keepNext w:val="0"/>
        <w:keepLines w:val="0"/>
        <w:widowControl/>
        <w:suppressLineNumbers w:val="0"/>
        <w:pBdr>
          <w:top w:val="single" w:color="auto" w:sz="4" w:space="0"/>
          <w:left w:val="none" w:color="auto" w:sz="0" w:space="0"/>
          <w:bottom w:val="none" w:color="auto" w:sz="0" w:space="0"/>
          <w:right w:val="none" w:color="auto" w:sz="0" w:space="0"/>
        </w:pBdr>
        <w:shd w:val="clear" w:fill="FFFFFF"/>
        <w:spacing w:before="100" w:beforeAutospacing="0" w:after="100" w:afterAutospacing="0"/>
        <w:ind w:left="-500" w:right="-50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11.Toxicological information</w:t>
      </w:r>
    </w:p>
    <w:p w14:paraId="0838D8C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Acute toxicity</w:t>
      </w:r>
    </w:p>
    <w:p w14:paraId="21846A8B">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Oral: no data available</w:t>
      </w:r>
    </w:p>
    <w:p w14:paraId="6C76D20D">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Inhalation: no data available</w:t>
      </w:r>
    </w:p>
    <w:p w14:paraId="4CA76B54">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Dermal: no data available</w:t>
      </w:r>
    </w:p>
    <w:p w14:paraId="0F9F68F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Skin corrosion/irritation</w:t>
      </w:r>
    </w:p>
    <w:p w14:paraId="48130E67">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5EFE70C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Serious eye damage/irritation</w:t>
      </w:r>
    </w:p>
    <w:p w14:paraId="608FB889">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4B7AC19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Respiratory or skin sensitization</w:t>
      </w:r>
    </w:p>
    <w:p w14:paraId="56E64775">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6337E1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Germ cell mutagenicity</w:t>
      </w:r>
    </w:p>
    <w:p w14:paraId="101660D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77E7139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Carcinogenicity</w:t>
      </w:r>
    </w:p>
    <w:p w14:paraId="23E2FDAC">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2EA9CFF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Reproductive toxicity</w:t>
      </w:r>
    </w:p>
    <w:p w14:paraId="3CEFF0A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02D417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STOT-single exposure</w:t>
      </w:r>
    </w:p>
    <w:p w14:paraId="6B1BF3FF">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002AF93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STOT-repeated exposure</w:t>
      </w:r>
    </w:p>
    <w:p w14:paraId="1F9F126F">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10BC5A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Aspiration hazard</w:t>
      </w:r>
    </w:p>
    <w:p w14:paraId="7226007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4F8879FF">
      <w:pPr>
        <w:pStyle w:val="2"/>
        <w:keepNext w:val="0"/>
        <w:keepLines w:val="0"/>
        <w:widowControl/>
        <w:suppressLineNumbers w:val="0"/>
        <w:pBdr>
          <w:top w:val="single" w:color="auto" w:sz="4" w:space="0"/>
          <w:left w:val="none" w:color="auto" w:sz="0" w:space="0"/>
          <w:bottom w:val="none" w:color="auto" w:sz="0" w:space="0"/>
          <w:right w:val="none" w:color="auto" w:sz="0" w:space="0"/>
        </w:pBdr>
        <w:shd w:val="clear" w:fill="FFFFFF"/>
        <w:spacing w:before="100" w:beforeAutospacing="0" w:after="100" w:afterAutospacing="0"/>
        <w:ind w:left="-500" w:right="-50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12.Ecological information</w:t>
      </w:r>
    </w:p>
    <w:p w14:paraId="5FF6B9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12.1Toxicity</w:t>
      </w:r>
    </w:p>
    <w:p w14:paraId="460F256F">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Toxicity to fish: no data available</w:t>
      </w:r>
    </w:p>
    <w:p w14:paraId="77AE3659">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Toxicity to daphnia and other aquatic invertebrates: no data available</w:t>
      </w:r>
    </w:p>
    <w:p w14:paraId="3C44721B">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Toxicity to algae: no data available</w:t>
      </w:r>
    </w:p>
    <w:p w14:paraId="504D92FD">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Toxicity to microorganisms: no data available</w:t>
      </w:r>
    </w:p>
    <w:p w14:paraId="198C07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12.2Persistence and degradability</w:t>
      </w:r>
    </w:p>
    <w:p w14:paraId="75AE84C7">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356F680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12.3Bioaccumulative potential</w:t>
      </w:r>
    </w:p>
    <w:p w14:paraId="70E4ED9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32E500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12.4Mobility in soil</w:t>
      </w:r>
    </w:p>
    <w:p w14:paraId="7C3F52F9">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340B5A7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12.5Other adverse effects</w:t>
      </w:r>
    </w:p>
    <w:p w14:paraId="2630E55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1F63B282">
      <w:pPr>
        <w:pStyle w:val="2"/>
        <w:keepNext w:val="0"/>
        <w:keepLines w:val="0"/>
        <w:widowControl/>
        <w:suppressLineNumbers w:val="0"/>
        <w:pBdr>
          <w:top w:val="single" w:color="auto" w:sz="4" w:space="0"/>
          <w:left w:val="none" w:color="auto" w:sz="0" w:space="0"/>
          <w:bottom w:val="none" w:color="auto" w:sz="0" w:space="0"/>
          <w:right w:val="none" w:color="auto" w:sz="0" w:space="0"/>
        </w:pBdr>
        <w:shd w:val="clear" w:fill="FFFFFF"/>
        <w:spacing w:before="100" w:beforeAutospacing="0" w:after="100" w:afterAutospacing="0"/>
        <w:ind w:left="-500" w:right="-50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13.Disposal considerations</w:t>
      </w:r>
    </w:p>
    <w:p w14:paraId="2F6603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13.1Disposal methods</w:t>
      </w:r>
    </w:p>
    <w:p w14:paraId="5B3C1F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Product</w:t>
      </w:r>
    </w:p>
    <w:p w14:paraId="680E15F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The material can be disposed of by removal to a licensed chemical destruction plant or by controlled incineration with flue gas scrubbing. Do not contaminate water, foodstuffs, feed or seed by storage or disposal. Do not discharge to sewer systems.</w:t>
      </w:r>
    </w:p>
    <w:p w14:paraId="35A0082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Contaminated packaging</w:t>
      </w:r>
    </w:p>
    <w:p w14:paraId="112A4C67">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Containers can be triply rinsed (or equivalent) and offered for recycling or reconditioning. Alternatively, the packaging can be punctured to make it unusable for other purposes and then be disposed of in a sanitary landfill. Controlled incineration with flue gas scrubbing is possible for combustible packaging materials.</w:t>
      </w:r>
    </w:p>
    <w:p w14:paraId="41B21C5E">
      <w:pPr>
        <w:pStyle w:val="2"/>
        <w:keepNext w:val="0"/>
        <w:keepLines w:val="0"/>
        <w:widowControl/>
        <w:suppressLineNumbers w:val="0"/>
        <w:pBdr>
          <w:top w:val="single" w:color="auto" w:sz="4" w:space="0"/>
          <w:left w:val="none" w:color="auto" w:sz="0" w:space="0"/>
          <w:bottom w:val="none" w:color="auto" w:sz="0" w:space="0"/>
          <w:right w:val="none" w:color="auto" w:sz="0" w:space="0"/>
        </w:pBdr>
        <w:shd w:val="clear" w:fill="FFFFFF"/>
        <w:spacing w:before="100" w:beforeAutospacing="0" w:after="100" w:afterAutospacing="0"/>
        <w:ind w:left="-500" w:right="-50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14.Transport information</w:t>
      </w:r>
    </w:p>
    <w:p w14:paraId="3E01E6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14.1UN Number</w:t>
      </w:r>
    </w:p>
    <w:tbl>
      <w:tblPr>
        <w:tblStyle w:val="8"/>
        <w:tblW w:w="76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793"/>
        <w:gridCol w:w="2451"/>
        <w:gridCol w:w="2363"/>
      </w:tblGrid>
      <w:tr w14:paraId="7E27C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nil"/>
              <w:left w:val="nil"/>
              <w:bottom w:val="nil"/>
              <w:right w:val="nil"/>
            </w:tcBorders>
            <w:shd w:val="clear" w:color="auto" w:fill="FFFFFF"/>
            <w:vAlign w:val="top"/>
          </w:tcPr>
          <w:p w14:paraId="1834A6C5">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ADR/RID: no data available</w:t>
            </w:r>
          </w:p>
        </w:tc>
        <w:tc>
          <w:tcPr>
            <w:tcW w:w="0" w:type="auto"/>
            <w:tcBorders>
              <w:top w:val="nil"/>
              <w:left w:val="nil"/>
              <w:bottom w:val="nil"/>
              <w:right w:val="nil"/>
            </w:tcBorders>
            <w:shd w:val="clear" w:color="auto" w:fill="FFFFFF"/>
            <w:vAlign w:val="top"/>
          </w:tcPr>
          <w:p w14:paraId="31211787">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IMDG: no data available</w:t>
            </w:r>
          </w:p>
        </w:tc>
        <w:tc>
          <w:tcPr>
            <w:tcW w:w="0" w:type="auto"/>
            <w:tcBorders>
              <w:top w:val="nil"/>
              <w:left w:val="nil"/>
              <w:bottom w:val="nil"/>
              <w:right w:val="nil"/>
            </w:tcBorders>
            <w:shd w:val="clear" w:color="auto" w:fill="FFFFFF"/>
            <w:vAlign w:val="top"/>
          </w:tcPr>
          <w:p w14:paraId="22AEC44B">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IATA: no data available</w:t>
            </w:r>
          </w:p>
        </w:tc>
      </w:tr>
    </w:tbl>
    <w:p w14:paraId="459C782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14.2UN Proper Shipping Name</w:t>
      </w:r>
    </w:p>
    <w:tbl>
      <w:tblPr>
        <w:tblStyle w:val="8"/>
        <w:tblW w:w="76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7607"/>
      </w:tblGrid>
      <w:tr w14:paraId="2A6C7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nil"/>
              <w:left w:val="nil"/>
              <w:bottom w:val="nil"/>
              <w:right w:val="nil"/>
            </w:tcBorders>
            <w:shd w:val="clear" w:color="auto" w:fill="FFFFFF"/>
            <w:vAlign w:val="top"/>
          </w:tcPr>
          <w:p w14:paraId="0E561967">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ADR/RID: no data available</w:t>
            </w:r>
          </w:p>
        </w:tc>
      </w:tr>
      <w:tr w14:paraId="7A794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nil"/>
              <w:left w:val="nil"/>
              <w:bottom w:val="nil"/>
              <w:right w:val="nil"/>
            </w:tcBorders>
            <w:shd w:val="clear" w:color="auto" w:fill="FFFFFF"/>
            <w:vAlign w:val="top"/>
          </w:tcPr>
          <w:p w14:paraId="15354E3D">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IMDG: no data available</w:t>
            </w:r>
          </w:p>
        </w:tc>
      </w:tr>
      <w:tr w14:paraId="297A5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nil"/>
              <w:left w:val="nil"/>
              <w:bottom w:val="nil"/>
              <w:right w:val="nil"/>
            </w:tcBorders>
            <w:shd w:val="clear" w:color="auto" w:fill="FFFFFF"/>
            <w:vAlign w:val="top"/>
          </w:tcPr>
          <w:p w14:paraId="0FAF6963">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IATA: no data available</w:t>
            </w:r>
          </w:p>
        </w:tc>
      </w:tr>
    </w:tbl>
    <w:p w14:paraId="5C11E2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14.3Transport hazard class(es)</w:t>
      </w:r>
    </w:p>
    <w:tbl>
      <w:tblPr>
        <w:tblStyle w:val="8"/>
        <w:tblW w:w="76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793"/>
        <w:gridCol w:w="2451"/>
        <w:gridCol w:w="2363"/>
      </w:tblGrid>
      <w:tr w14:paraId="018E8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nil"/>
              <w:left w:val="nil"/>
              <w:bottom w:val="nil"/>
              <w:right w:val="nil"/>
            </w:tcBorders>
            <w:shd w:val="clear" w:color="auto" w:fill="FFFFFF"/>
            <w:vAlign w:val="top"/>
          </w:tcPr>
          <w:p w14:paraId="06C75DD0">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ADR/RID: no data available</w:t>
            </w:r>
          </w:p>
        </w:tc>
        <w:tc>
          <w:tcPr>
            <w:tcW w:w="0" w:type="auto"/>
            <w:tcBorders>
              <w:top w:val="nil"/>
              <w:left w:val="nil"/>
              <w:bottom w:val="nil"/>
              <w:right w:val="nil"/>
            </w:tcBorders>
            <w:shd w:val="clear" w:color="auto" w:fill="FFFFFF"/>
            <w:vAlign w:val="top"/>
          </w:tcPr>
          <w:p w14:paraId="2433B9BB">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IMDG: no data available</w:t>
            </w:r>
          </w:p>
        </w:tc>
        <w:tc>
          <w:tcPr>
            <w:tcW w:w="0" w:type="auto"/>
            <w:tcBorders>
              <w:top w:val="nil"/>
              <w:left w:val="nil"/>
              <w:bottom w:val="nil"/>
              <w:right w:val="nil"/>
            </w:tcBorders>
            <w:shd w:val="clear" w:color="auto" w:fill="FFFFFF"/>
            <w:vAlign w:val="top"/>
          </w:tcPr>
          <w:p w14:paraId="28AD10B4">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IATA: no data available</w:t>
            </w:r>
          </w:p>
        </w:tc>
      </w:tr>
    </w:tbl>
    <w:p w14:paraId="12E43D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14.4Packing group, if applicable</w:t>
      </w:r>
    </w:p>
    <w:tbl>
      <w:tblPr>
        <w:tblStyle w:val="8"/>
        <w:tblW w:w="76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793"/>
        <w:gridCol w:w="2451"/>
        <w:gridCol w:w="2363"/>
      </w:tblGrid>
      <w:tr w14:paraId="0494C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nil"/>
              <w:left w:val="nil"/>
              <w:bottom w:val="nil"/>
              <w:right w:val="nil"/>
            </w:tcBorders>
            <w:shd w:val="clear" w:color="auto" w:fill="FFFFFF"/>
            <w:vAlign w:val="top"/>
          </w:tcPr>
          <w:p w14:paraId="0F400FAE">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ADR/RID: no data available</w:t>
            </w:r>
          </w:p>
        </w:tc>
        <w:tc>
          <w:tcPr>
            <w:tcW w:w="0" w:type="auto"/>
            <w:tcBorders>
              <w:top w:val="nil"/>
              <w:left w:val="nil"/>
              <w:bottom w:val="nil"/>
              <w:right w:val="nil"/>
            </w:tcBorders>
            <w:shd w:val="clear" w:color="auto" w:fill="FFFFFF"/>
            <w:vAlign w:val="top"/>
          </w:tcPr>
          <w:p w14:paraId="51DAF3F5">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IMDG: no data available</w:t>
            </w:r>
          </w:p>
        </w:tc>
        <w:tc>
          <w:tcPr>
            <w:tcW w:w="0" w:type="auto"/>
            <w:tcBorders>
              <w:top w:val="nil"/>
              <w:left w:val="nil"/>
              <w:bottom w:val="nil"/>
              <w:right w:val="nil"/>
            </w:tcBorders>
            <w:shd w:val="clear" w:color="auto" w:fill="FFFFFF"/>
            <w:vAlign w:val="top"/>
          </w:tcPr>
          <w:p w14:paraId="67A52702">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IATA: no data available</w:t>
            </w:r>
          </w:p>
        </w:tc>
      </w:tr>
    </w:tbl>
    <w:p w14:paraId="64F331A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14.5Environmental hazards</w:t>
      </w:r>
    </w:p>
    <w:tbl>
      <w:tblPr>
        <w:tblStyle w:val="8"/>
        <w:tblW w:w="76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099"/>
        <w:gridCol w:w="2349"/>
        <w:gridCol w:w="2159"/>
      </w:tblGrid>
      <w:tr w14:paraId="4A0F9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nil"/>
              <w:left w:val="nil"/>
              <w:bottom w:val="nil"/>
              <w:right w:val="nil"/>
            </w:tcBorders>
            <w:shd w:val="clear" w:color="auto" w:fill="FFFFFF"/>
            <w:vAlign w:val="top"/>
          </w:tcPr>
          <w:p w14:paraId="424C7FE3">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ADR/RID: yes</w:t>
            </w:r>
          </w:p>
        </w:tc>
        <w:tc>
          <w:tcPr>
            <w:tcW w:w="0" w:type="auto"/>
            <w:tcBorders>
              <w:top w:val="nil"/>
              <w:left w:val="nil"/>
              <w:bottom w:val="nil"/>
              <w:right w:val="nil"/>
            </w:tcBorders>
            <w:shd w:val="clear" w:color="auto" w:fill="FFFFFF"/>
            <w:vAlign w:val="top"/>
          </w:tcPr>
          <w:p w14:paraId="16E1BAA6">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IMDG: yes</w:t>
            </w:r>
          </w:p>
        </w:tc>
        <w:tc>
          <w:tcPr>
            <w:tcW w:w="0" w:type="auto"/>
            <w:tcBorders>
              <w:top w:val="nil"/>
              <w:left w:val="nil"/>
              <w:bottom w:val="nil"/>
              <w:right w:val="nil"/>
            </w:tcBorders>
            <w:shd w:val="clear" w:color="auto" w:fill="FFFFFF"/>
            <w:vAlign w:val="top"/>
          </w:tcPr>
          <w:p w14:paraId="6350F183">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IATA: yes</w:t>
            </w:r>
          </w:p>
        </w:tc>
      </w:tr>
    </w:tbl>
    <w:p w14:paraId="4BE5003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14.6Special precautions for user</w:t>
      </w:r>
    </w:p>
    <w:p w14:paraId="17CAB76F">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626E39B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14.7Transport in bulk according to Annex II of MARPOL 73/78 and the IBC Code</w:t>
      </w:r>
    </w:p>
    <w:p w14:paraId="45770D3F">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50" w:afterAutospacing="0" w:line="10" w:lineRule="atLeast"/>
        <w:ind w:left="0" w:right="0" w:firstLine="0"/>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color w:val="000000"/>
          <w:spacing w:val="0"/>
          <w:sz w:val="13"/>
          <w:szCs w:val="13"/>
          <w:shd w:val="clear" w:fill="FFFFFF"/>
        </w:rPr>
        <w:t>no data available</w:t>
      </w:r>
    </w:p>
    <w:p w14:paraId="1111CFCD">
      <w:pPr>
        <w:pStyle w:val="2"/>
        <w:keepNext w:val="0"/>
        <w:keepLines w:val="0"/>
        <w:widowControl/>
        <w:suppressLineNumbers w:val="0"/>
        <w:pBdr>
          <w:top w:val="single" w:color="auto" w:sz="4" w:space="0"/>
          <w:left w:val="none" w:color="auto" w:sz="0" w:space="0"/>
          <w:bottom w:val="none" w:color="auto" w:sz="0" w:space="0"/>
          <w:right w:val="none" w:color="auto" w:sz="0" w:space="0"/>
        </w:pBdr>
        <w:shd w:val="clear" w:fill="FFFFFF"/>
        <w:spacing w:before="100" w:beforeAutospacing="0" w:after="100" w:afterAutospacing="0"/>
        <w:ind w:left="-500" w:right="-50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15.Regulatory information</w:t>
      </w:r>
    </w:p>
    <w:p w14:paraId="55C5B16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500" w:right="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15.1Safety, health and environmental regulations specific for the product in question</w:t>
      </w:r>
    </w:p>
    <w:tbl>
      <w:tblPr>
        <w:tblStyle w:val="8"/>
        <w:tblW w:w="76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987"/>
        <w:gridCol w:w="2987"/>
        <w:gridCol w:w="632"/>
        <w:gridCol w:w="1001"/>
      </w:tblGrid>
      <w:tr w14:paraId="603A4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00454D">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Chemical name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468375">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Common names and synonyms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C38F29">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CAS number</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9D053">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EC number</w:t>
            </w:r>
          </w:p>
        </w:tc>
      </w:tr>
      <w:tr w14:paraId="4D568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95A512">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2,2’-[(1-methylethylidene)bis(4,1-phenyleneoxymethylene)]bis-oxiranhomopol</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7180AF">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2,2’-[(1-methylethylidene)bis(4,1-phenyleneoxymethylene)]bis-oxiranhomopol</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C4D877">
            <w:pPr>
              <w:keepNext w:val="0"/>
              <w:keepLines w:val="0"/>
              <w:widowControl/>
              <w:suppressLineNumbers w:val="0"/>
              <w:spacing w:before="0" w:beforeAutospacing="0" w:after="0" w:afterAutospacing="0" w:line="315" w:lineRule="atLeast"/>
              <w:ind w:left="0" w:right="0"/>
              <w:jc w:val="center"/>
              <w:rPr>
                <w:rFonts w:hint="default" w:ascii="Arial" w:hAnsi="Arial" w:eastAsia="宋体" w:cs="Arial"/>
                <w:i w:val="0"/>
                <w:iCs w:val="0"/>
                <w:caps w:val="0"/>
                <w:color w:val="000000"/>
                <w:spacing w:val="0"/>
                <w:sz w:val="13"/>
                <w:szCs w:val="13"/>
                <w:lang w:val="en-US" w:eastAsia="zh-CN"/>
              </w:rPr>
            </w:pPr>
            <w:r>
              <w:rPr>
                <w:rFonts w:hint="eastAsia" w:eastAsia="宋体" w:cs="Arial"/>
                <w:i w:val="0"/>
                <w:iCs w:val="0"/>
                <w:caps w:val="0"/>
                <w:color w:val="000000"/>
                <w:spacing w:val="0"/>
                <w:sz w:val="13"/>
                <w:szCs w:val="13"/>
                <w:lang w:val="en-US" w:eastAsia="zh-CN"/>
              </w:rPr>
              <w:t>55818-57-0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2AF817">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none</w:t>
            </w:r>
          </w:p>
        </w:tc>
      </w:tr>
      <w:tr w14:paraId="47C42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21DF67">
            <w:pPr>
              <w:keepNext w:val="0"/>
              <w:keepLines w:val="0"/>
              <w:widowControl/>
              <w:suppressLineNumbers w:val="0"/>
              <w:spacing w:before="0" w:beforeAutospacing="0" w:after="0" w:afterAutospacing="0" w:line="315" w:lineRule="atLeast"/>
              <w:ind w:left="0" w:right="0"/>
              <w:jc w:val="left"/>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European Inventory of Existing Commercial Chemical Substances (EINECS)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BDCE1B">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Not Listed.</w:t>
            </w:r>
          </w:p>
        </w:tc>
      </w:tr>
      <w:tr w14:paraId="502D9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5E31B6">
            <w:pPr>
              <w:keepNext w:val="0"/>
              <w:keepLines w:val="0"/>
              <w:widowControl/>
              <w:suppressLineNumbers w:val="0"/>
              <w:spacing w:before="0" w:beforeAutospacing="0" w:after="0" w:afterAutospacing="0" w:line="315" w:lineRule="atLeast"/>
              <w:ind w:left="0" w:right="0"/>
              <w:jc w:val="left"/>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EC Inventory</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3CA18A">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Not Listed.</w:t>
            </w:r>
          </w:p>
        </w:tc>
      </w:tr>
      <w:tr w14:paraId="1A55C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14201F">
            <w:pPr>
              <w:keepNext w:val="0"/>
              <w:keepLines w:val="0"/>
              <w:widowControl/>
              <w:suppressLineNumbers w:val="0"/>
              <w:spacing w:before="0" w:beforeAutospacing="0" w:after="0" w:afterAutospacing="0" w:line="315" w:lineRule="atLeast"/>
              <w:ind w:left="0" w:right="0"/>
              <w:jc w:val="left"/>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United States Toxic Substances Control Act (TSCA) Inventory</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3DA85A">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Listed.</w:t>
            </w:r>
          </w:p>
        </w:tc>
      </w:tr>
      <w:tr w14:paraId="0FB23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BF8B10">
            <w:pPr>
              <w:keepNext w:val="0"/>
              <w:keepLines w:val="0"/>
              <w:widowControl/>
              <w:suppressLineNumbers w:val="0"/>
              <w:spacing w:before="0" w:beforeAutospacing="0" w:after="0" w:afterAutospacing="0" w:line="315" w:lineRule="atLeast"/>
              <w:ind w:left="0" w:right="0"/>
              <w:jc w:val="left"/>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China Catalog of Hazardous chemicals 2015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EE4E2C">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Not Listed.</w:t>
            </w:r>
          </w:p>
        </w:tc>
      </w:tr>
      <w:tr w14:paraId="5275F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D2DFCA">
            <w:pPr>
              <w:keepNext w:val="0"/>
              <w:keepLines w:val="0"/>
              <w:widowControl/>
              <w:suppressLineNumbers w:val="0"/>
              <w:spacing w:before="0" w:beforeAutospacing="0" w:after="0" w:afterAutospacing="0" w:line="315" w:lineRule="atLeast"/>
              <w:ind w:left="0" w:right="0"/>
              <w:jc w:val="left"/>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New Zealand Inventory of Chemicals (NZIoC)</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D9CC52">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Listed.</w:t>
            </w:r>
          </w:p>
        </w:tc>
      </w:tr>
      <w:tr w14:paraId="2405D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B2E319">
            <w:pPr>
              <w:keepNext w:val="0"/>
              <w:keepLines w:val="0"/>
              <w:widowControl/>
              <w:suppressLineNumbers w:val="0"/>
              <w:spacing w:before="0" w:beforeAutospacing="0" w:after="0" w:afterAutospacing="0" w:line="315" w:lineRule="atLeast"/>
              <w:ind w:left="0" w:right="0"/>
              <w:jc w:val="left"/>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Philippines Inventory of Chemicals and Chemical Substances (PICCS)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4A2703">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Listed.</w:t>
            </w:r>
          </w:p>
        </w:tc>
      </w:tr>
      <w:tr w14:paraId="088DA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7DDFAB">
            <w:pPr>
              <w:keepNext w:val="0"/>
              <w:keepLines w:val="0"/>
              <w:widowControl/>
              <w:suppressLineNumbers w:val="0"/>
              <w:spacing w:before="0" w:beforeAutospacing="0" w:after="0" w:afterAutospacing="0" w:line="315" w:lineRule="atLeast"/>
              <w:ind w:left="0" w:right="0"/>
              <w:jc w:val="left"/>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Vietnam National Chemical Inventory</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537409">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Listed.</w:t>
            </w:r>
          </w:p>
        </w:tc>
      </w:tr>
      <w:tr w14:paraId="1BAAF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1E0AB1">
            <w:pPr>
              <w:keepNext w:val="0"/>
              <w:keepLines w:val="0"/>
              <w:widowControl/>
              <w:suppressLineNumbers w:val="0"/>
              <w:spacing w:before="0" w:beforeAutospacing="0" w:after="0" w:afterAutospacing="0" w:line="315" w:lineRule="atLeast"/>
              <w:ind w:left="0" w:right="0"/>
              <w:jc w:val="left"/>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Chinese Chemical Inventory of Existing Chemical Substances (China IECSC)</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8EB965">
            <w:pPr>
              <w:keepNext w:val="0"/>
              <w:keepLines w:val="0"/>
              <w:widowControl/>
              <w:suppressLineNumbers w:val="0"/>
              <w:spacing w:before="0" w:beforeAutospacing="0" w:after="0" w:afterAutospacing="0" w:line="315" w:lineRule="atLeast"/>
              <w:ind w:left="0" w:right="0"/>
              <w:jc w:val="center"/>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Listed.</w:t>
            </w:r>
          </w:p>
        </w:tc>
      </w:tr>
    </w:tbl>
    <w:p w14:paraId="37D14B72">
      <w:pPr>
        <w:pStyle w:val="2"/>
        <w:keepNext w:val="0"/>
        <w:keepLines w:val="0"/>
        <w:widowControl/>
        <w:suppressLineNumbers w:val="0"/>
        <w:pBdr>
          <w:top w:val="single" w:color="auto" w:sz="4" w:space="0"/>
          <w:left w:val="none" w:color="auto" w:sz="0" w:space="0"/>
          <w:bottom w:val="none" w:color="auto" w:sz="0" w:space="0"/>
          <w:right w:val="none" w:color="auto" w:sz="0" w:space="0"/>
        </w:pBdr>
        <w:shd w:val="clear" w:fill="FFFFFF"/>
        <w:spacing w:before="100" w:beforeAutospacing="0" w:after="100" w:afterAutospacing="0"/>
        <w:ind w:left="-500" w:right="-500" w:firstLine="0"/>
        <w:rPr>
          <w:rFonts w:hint="default" w:ascii="Arial" w:hAnsi="Arial" w:eastAsia="Arial" w:cs="Arial"/>
          <w:b/>
          <w:bCs/>
          <w:i w:val="0"/>
          <w:iCs w:val="0"/>
          <w:caps w:val="0"/>
          <w:color w:val="000000"/>
          <w:spacing w:val="0"/>
          <w:sz w:val="24"/>
          <w:szCs w:val="24"/>
        </w:rPr>
      </w:pPr>
      <w:r>
        <w:rPr>
          <w:rFonts w:hint="default" w:ascii="Arial" w:hAnsi="Arial" w:eastAsia="Arial" w:cs="Arial"/>
          <w:b/>
          <w:bCs/>
          <w:i w:val="0"/>
          <w:iCs w:val="0"/>
          <w:caps w:val="0"/>
          <w:color w:val="000000"/>
          <w:spacing w:val="0"/>
          <w:sz w:val="24"/>
          <w:szCs w:val="24"/>
          <w:shd w:val="clear" w:fill="FFFFFF"/>
        </w:rPr>
        <w:t>16.Other information</w:t>
      </w:r>
    </w:p>
    <w:p w14:paraId="7EFC574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Information on revision</w:t>
      </w:r>
    </w:p>
    <w:tbl>
      <w:tblPr>
        <w:tblStyle w:val="8"/>
        <w:tblW w:w="76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282"/>
        <w:gridCol w:w="5325"/>
      </w:tblGrid>
      <w:tr w14:paraId="39F74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c>
          <w:tcPr>
            <w:tcW w:w="2282" w:type="dxa"/>
            <w:tcBorders>
              <w:top w:val="nil"/>
              <w:left w:val="nil"/>
              <w:bottom w:val="nil"/>
              <w:right w:val="nil"/>
            </w:tcBorders>
            <w:shd w:val="clear" w:color="auto" w:fill="FFFFFF"/>
            <w:vAlign w:val="top"/>
          </w:tcPr>
          <w:p w14:paraId="2441063C">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Creation Date</w:t>
            </w:r>
          </w:p>
        </w:tc>
        <w:tc>
          <w:tcPr>
            <w:tcW w:w="5325" w:type="dxa"/>
            <w:tcBorders>
              <w:top w:val="nil"/>
              <w:left w:val="nil"/>
              <w:bottom w:val="nil"/>
              <w:right w:val="nil"/>
            </w:tcBorders>
            <w:shd w:val="clear" w:color="auto" w:fill="FFFFFF"/>
            <w:vAlign w:val="top"/>
          </w:tcPr>
          <w:p w14:paraId="2E1EA45F">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Aug 13, 2017</w:t>
            </w:r>
          </w:p>
        </w:tc>
      </w:tr>
      <w:tr w14:paraId="679CA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282" w:type="dxa"/>
            <w:tcBorders>
              <w:top w:val="nil"/>
              <w:left w:val="nil"/>
              <w:bottom w:val="nil"/>
              <w:right w:val="nil"/>
            </w:tcBorders>
            <w:shd w:val="clear" w:color="auto" w:fill="FFFFFF"/>
            <w:vAlign w:val="top"/>
          </w:tcPr>
          <w:p w14:paraId="108243CB">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snapToGrid w:val="0"/>
                <w:color w:val="000000"/>
                <w:spacing w:val="0"/>
                <w:kern w:val="0"/>
                <w:sz w:val="13"/>
                <w:szCs w:val="13"/>
                <w:lang w:val="en-US" w:eastAsia="zh-CN" w:bidi="ar"/>
              </w:rPr>
              <w:t>Revision Date</w:t>
            </w:r>
          </w:p>
        </w:tc>
        <w:tc>
          <w:tcPr>
            <w:tcW w:w="5325" w:type="dxa"/>
            <w:tcBorders>
              <w:top w:val="nil"/>
              <w:left w:val="nil"/>
              <w:bottom w:val="nil"/>
              <w:right w:val="nil"/>
            </w:tcBorders>
            <w:shd w:val="clear" w:color="auto" w:fill="FFFFFF"/>
            <w:vAlign w:val="top"/>
          </w:tcPr>
          <w:p w14:paraId="3B3B78EC">
            <w:pPr>
              <w:keepNext w:val="0"/>
              <w:keepLines w:val="0"/>
              <w:widowControl/>
              <w:suppressLineNumbers w:val="0"/>
              <w:spacing w:before="0" w:beforeAutospacing="0" w:after="0" w:afterAutospacing="0" w:line="10" w:lineRule="atLeast"/>
              <w:ind w:left="0" w:right="0"/>
              <w:jc w:val="left"/>
              <w:textAlignment w:val="top"/>
              <w:rPr>
                <w:rFonts w:hint="default" w:ascii="Arial" w:hAnsi="Arial" w:eastAsia="Arial" w:cs="Arial"/>
                <w:i w:val="0"/>
                <w:iCs w:val="0"/>
                <w:caps w:val="0"/>
                <w:color w:val="000000"/>
                <w:spacing w:val="0"/>
                <w:sz w:val="13"/>
                <w:szCs w:val="13"/>
              </w:rPr>
            </w:pPr>
            <w:r>
              <w:rPr>
                <w:rFonts w:hint="default" w:ascii="Arial" w:hAnsi="Arial" w:eastAsia="Arial" w:cs="Arial"/>
                <w:i w:val="0"/>
                <w:iCs w:val="0"/>
                <w:caps w:val="0"/>
                <w:snapToGrid w:val="0"/>
                <w:color w:val="000000"/>
                <w:spacing w:val="0"/>
                <w:kern w:val="0"/>
                <w:sz w:val="13"/>
                <w:szCs w:val="13"/>
                <w:lang w:val="en-US" w:eastAsia="zh-CN" w:bidi="ar"/>
              </w:rPr>
              <w:t>Aug 13, 2017</w:t>
            </w:r>
          </w:p>
        </w:tc>
      </w:tr>
    </w:tbl>
    <w:p w14:paraId="63FBCF4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Abbreviations and acronyms</w:t>
      </w:r>
    </w:p>
    <w:p w14:paraId="1240F016">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CAS: Chemical Abstracts Service</w:t>
      </w:r>
    </w:p>
    <w:p w14:paraId="487E662A">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ADR: European Agreement concerning the International Carriage of Dangerous Goods by Road</w:t>
      </w:r>
    </w:p>
    <w:p w14:paraId="24DDE481">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RID: Regulation concerning the International Carriage of Dangerous Goods by Rail</w:t>
      </w:r>
    </w:p>
    <w:p w14:paraId="7B9017D3">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IMDG: International Maritime Dangerous Goods</w:t>
      </w:r>
    </w:p>
    <w:p w14:paraId="30558BB4">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IATA: International Air Transportation Association</w:t>
      </w:r>
    </w:p>
    <w:p w14:paraId="757ABD1D">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TWA: Time Weighted Average</w:t>
      </w:r>
    </w:p>
    <w:p w14:paraId="06C5F6CF">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STEL: Short term exposure limit</w:t>
      </w:r>
    </w:p>
    <w:p w14:paraId="70135553">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LC50: Lethal Concentration 50%</w:t>
      </w:r>
    </w:p>
    <w:p w14:paraId="4D8AB634">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LD50: Lethal Dose 50%</w:t>
      </w:r>
    </w:p>
    <w:p w14:paraId="29D18D98">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EC50: Effective Concentration 50%</w:t>
      </w:r>
    </w:p>
    <w:p w14:paraId="78E40C6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rPr>
          <w:rFonts w:hint="default" w:ascii="Arial" w:hAnsi="Arial" w:eastAsia="Arial" w:cs="Arial"/>
          <w:b/>
          <w:bCs/>
          <w:i w:val="0"/>
          <w:iCs w:val="0"/>
          <w:caps w:val="0"/>
          <w:color w:val="000000"/>
          <w:spacing w:val="0"/>
          <w:sz w:val="13"/>
          <w:szCs w:val="13"/>
        </w:rPr>
      </w:pPr>
      <w:r>
        <w:rPr>
          <w:rFonts w:hint="default" w:ascii="Arial" w:hAnsi="Arial" w:eastAsia="Arial" w:cs="Arial"/>
          <w:b/>
          <w:bCs/>
          <w:i w:val="0"/>
          <w:iCs w:val="0"/>
          <w:caps w:val="0"/>
          <w:color w:val="000000"/>
          <w:spacing w:val="0"/>
          <w:sz w:val="13"/>
          <w:szCs w:val="13"/>
          <w:shd w:val="clear" w:fill="FFFFFF"/>
        </w:rPr>
        <w:t>References</w:t>
      </w:r>
    </w:p>
    <w:p w14:paraId="0B55A03A">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IPCS - The International Chemical Safety Cards (ICSC), website: http://www.ilo.org/dyn/icsc/showcard.home</w:t>
      </w:r>
    </w:p>
    <w:p w14:paraId="4F0BBC56">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HSDB - Hazardous Substances Data Bank, website: https://toxnet.nlm.nih.gov/newtoxnet/hsdb.htm</w:t>
      </w:r>
    </w:p>
    <w:p w14:paraId="015C1AC0">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IARC - International Agency for Research on Cancer, website: http://www.iarc.fr/</w:t>
      </w:r>
    </w:p>
    <w:p w14:paraId="0BFDE5E3">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eChemPortal - The Global Portal to Information on Chemical Substances by OECD, website: http://www.echemportal.org/echemportal/index?pageID=0&amp;request_locale=en</w:t>
      </w:r>
    </w:p>
    <w:p w14:paraId="30B021E2">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CAMEO Chemicals, website: http://cameochemicals.noaa.gov/search/simple</w:t>
      </w:r>
    </w:p>
    <w:p w14:paraId="4DC73AB2">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ChemIDplus, website: http://chem.sis.nlm.nih.gov/chemidplus/chemidlite.jsp</w:t>
      </w:r>
    </w:p>
    <w:p w14:paraId="1A41E512">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ERG - Emergency Response Guidebook by U.S. Department of Transportation, website: http://www.phmsa.dot.gov/hazmat/library/erg</w:t>
      </w:r>
    </w:p>
    <w:p w14:paraId="1214EC42">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Germany GESTIS-database on hazard substance, website: http://www.dguv.de/ifa/gestis/gestis-stoffdatenbank/index-2.jsp</w:t>
      </w:r>
    </w:p>
    <w:p w14:paraId="6BEA7D6E">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Arial" w:hAnsi="Arial" w:eastAsia="Arial" w:cs="Arial"/>
          <w:i w:val="0"/>
          <w:iCs w:val="0"/>
          <w:caps w:val="0"/>
          <w:color w:val="000000"/>
          <w:spacing w:val="0"/>
          <w:sz w:val="13"/>
          <w:szCs w:val="13"/>
          <w:shd w:val="clear" w:fill="FFFFFF"/>
        </w:rPr>
        <w:t>ECHA - European Chemicals Agency, website: https://echa.europa.eu/</w:t>
      </w:r>
    </w:p>
    <w:p w14:paraId="41F6A984">
      <w:pPr>
        <w:keepNext w:val="0"/>
        <w:keepLines w:val="0"/>
        <w:widowControl/>
        <w:suppressLineNumbers w:val="0"/>
        <w:shd w:val="clear" w:fill="FFFFFF"/>
        <w:spacing w:before="105" w:beforeAutospacing="0" w:after="105" w:afterAutospacing="0"/>
        <w:ind w:left="0" w:right="0" w:firstLine="0"/>
        <w:rPr>
          <w:rFonts w:hint="default" w:ascii="Arial" w:hAnsi="Arial" w:eastAsia="Arial" w:cs="Arial"/>
          <w:i w:val="0"/>
          <w:iCs w:val="0"/>
          <w:caps w:val="0"/>
          <w:color w:val="000000"/>
          <w:spacing w:val="0"/>
          <w:sz w:val="13"/>
          <w:szCs w:val="13"/>
        </w:rPr>
      </w:pPr>
      <w:r>
        <w:pict>
          <v:rect id="_x0000_i1025" o:spt="1" style="height:1.5pt;width:432pt;" fillcolor="#000000" filled="t" stroked="f" coordsize="21600,21600" o:hr="t" o:hrstd="t" o:hrnoshade="t" o:hralign="center">
            <v:path/>
            <v:fill on="t" focussize="0,0"/>
            <v:stroke on="f"/>
            <v:imagedata o:title=""/>
            <o:lock v:ext="edit"/>
            <w10:wrap type="none"/>
            <w10:anchorlock/>
          </v:rect>
        </w:pict>
      </w:r>
    </w:p>
    <w:p w14:paraId="6FBA96A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ind w:left="0" w:right="0" w:firstLine="0"/>
      </w:pPr>
      <w:r>
        <w:rPr>
          <w:rFonts w:hint="default" w:ascii="Arial" w:hAnsi="Arial" w:eastAsia="Arial" w:cs="Arial"/>
          <w:b/>
          <w:bCs/>
          <w:i/>
          <w:iCs/>
          <w:caps w:val="0"/>
          <w:spacing w:val="0"/>
          <w:sz w:val="17"/>
          <w:szCs w:val="17"/>
          <w:shd w:val="clear" w:fill="FFFFFF"/>
        </w:rPr>
        <w:t>Disclaimer: The above information is believed to be correct but does not purport to be all inclusive and shall be used only as a guide. The information in this document is based on the present state of our knowledge and is applicable to the product with regard to appropriate safety precautions. It does not represent any guarantee of the properties of the product. We as supplier shall not be held liable for any damage resulting from handling or from contact with the above product.</w:t>
      </w:r>
    </w:p>
    <w:sectPr>
      <w:headerReference r:id="rId5" w:type="default"/>
      <w:footerReference r:id="rId6" w:type="default"/>
      <w:type w:val="continuous"/>
      <w:pgSz w:w="11900" w:h="16840"/>
      <w:pgMar w:top="572" w:right="1785" w:bottom="880" w:left="1785" w:header="0" w:footer="721"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4F33E">
    <w:pPr>
      <w:spacing w:line="182" w:lineRule="auto"/>
      <w:ind w:left="4083"/>
      <w:rPr>
        <w:rFonts w:ascii="Times New Roman" w:hAnsi="Times New Roman" w:eastAsia="Times New Roman" w:cs="Times New Roman"/>
        <w:sz w:val="17"/>
        <w:szCs w:val="17"/>
      </w:rPr>
    </w:pPr>
    <w:r>
      <w:rPr>
        <w:rFonts w:ascii="Times New Roman" w:hAnsi="Times New Roman" w:eastAsia="Times New Roman" w:cs="Times New Roman"/>
        <w:spacing w:val="1"/>
        <w:sz w:val="17"/>
        <w:szCs w:val="17"/>
      </w:rPr>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13065">
    <w:pPr>
      <w:pStyle w:val="6"/>
      <w:jc w:val="center"/>
      <w:rPr>
        <w:rFonts w:hint="eastAsia" w:eastAsia="宋体"/>
        <w:lang w:eastAsia="zh-CN"/>
      </w:rPr>
    </w:pPr>
    <w:r>
      <w:rPr>
        <w:rStyle w:val="12"/>
        <w:rFonts w:ascii="Times New Roman" w:hAnsi="Times New Roman" w:eastAsia="宋体"/>
        <w:kern w:val="2"/>
        <w:sz w:val="18"/>
        <w:lang w:val="en-US" w:eastAsia="zh-CN"/>
      </w:rPr>
      <w:drawing>
        <wp:inline distT="0" distB="0" distL="114300" distR="114300">
          <wp:extent cx="4030980" cy="617220"/>
          <wp:effectExtent l="0" t="0" r="7620" b="11430"/>
          <wp:docPr id="1" name="图片 1" descr="图层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层 1"/>
                  <pic:cNvPicPr>
                    <a:picLocks noChangeAspect="1"/>
                  </pic:cNvPicPr>
                </pic:nvPicPr>
                <pic:blipFill>
                  <a:blip r:embed="rId1"/>
                  <a:stretch>
                    <a:fillRect/>
                  </a:stretch>
                </pic:blipFill>
                <pic:spPr>
                  <a:xfrm>
                    <a:off x="0" y="0"/>
                    <a:ext cx="4030980" cy="617220"/>
                  </a:xfrm>
                  <a:prstGeom prst="rect">
                    <a:avLst/>
                  </a:prstGeom>
                </pic:spPr>
              </pic:pic>
            </a:graphicData>
          </a:graphic>
        </wp:inline>
      </w:drawing>
    </w:r>
  </w:p>
  <w:p w14:paraId="31DA7B89">
    <w:pPr>
      <w:pStyle w:val="6"/>
      <w:bidi w:val="0"/>
      <w:jc w:val="center"/>
      <w:rPr>
        <w:rFonts w:hint="eastAsia"/>
        <w:b/>
        <w:bCs/>
        <w:sz w:val="30"/>
        <w:szCs w:val="30"/>
        <w:lang w:val="en-US" w:eastAsia="zh-CN"/>
      </w:rPr>
    </w:pPr>
    <w:r>
      <w:rPr>
        <w:rFonts w:hint="eastAsia"/>
        <w:b/>
        <w:bCs/>
        <w:sz w:val="30"/>
        <w:szCs w:val="30"/>
        <w:lang w:val="en-US" w:eastAsia="zh-CN"/>
      </w:rPr>
      <w:t>Material safety data sheet</w:t>
    </w:r>
  </w:p>
  <w:p w14:paraId="08EF1F02">
    <w:pPr>
      <w:pStyle w:val="6"/>
      <w:bidi w:val="0"/>
      <w:jc w:val="center"/>
      <w:rPr>
        <w:rFonts w:hint="default"/>
        <w:b/>
        <w:bCs/>
        <w:sz w:val="30"/>
        <w:szCs w:val="30"/>
        <w:lang w:val="en-US" w:eastAsia="zh-CN"/>
      </w:rPr>
    </w:pPr>
    <w:r>
      <w:rPr>
        <w:sz w:val="30"/>
      </w:rPr>
      <mc:AlternateContent>
        <mc:Choice Requires="wps">
          <w:drawing>
            <wp:anchor distT="0" distB="0" distL="114300" distR="114300" simplePos="0" relativeHeight="251659264" behindDoc="0" locked="0" layoutInCell="1" allowOverlap="1">
              <wp:simplePos x="0" y="0"/>
              <wp:positionH relativeFrom="column">
                <wp:posOffset>127000</wp:posOffset>
              </wp:positionH>
              <wp:positionV relativeFrom="paragraph">
                <wp:posOffset>50800</wp:posOffset>
              </wp:positionV>
              <wp:extent cx="4972050" cy="0"/>
              <wp:effectExtent l="0" t="12700" r="6350" b="12700"/>
              <wp:wrapNone/>
              <wp:docPr id="7" name="直接连接符 7"/>
              <wp:cNvGraphicFramePr/>
              <a:graphic xmlns:a="http://schemas.openxmlformats.org/drawingml/2006/main">
                <a:graphicData uri="http://schemas.microsoft.com/office/word/2010/wordprocessingShape">
                  <wps:wsp>
                    <wps:cNvCnPr/>
                    <wps:spPr>
                      <a:xfrm>
                        <a:off x="1260475" y="891540"/>
                        <a:ext cx="497205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0pt;margin-top:4pt;height:0pt;width:391.5pt;z-index:251659264;mso-width-relative:page;mso-height-relative:page;" filled="f" stroked="t" coordsize="21600,21600" o:gfxdata="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K+VyujSAAAABgEAAA8A&#10;AAAAAAAAAQAgAAAAIgAAAGRycy9kb3ducmV2LnhtbFBLAQIUABQAAAAIAIdO4kC20tI55AEAAKYD&#10;AAAOAAAAAAAAAAEAIAAAACEBAABkcnMvZTJvRG9jLnhtbFBLBQYAAAAABgAGAFkBAAB3BQAAAAA=&#10;">
              <v:fill on="f" focussize="0,0"/>
              <v:stroke weight="2pt" color="#000000 [3213]"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B5572E"/>
    <w:multiLevelType w:val="multilevel"/>
    <w:tmpl w:val="C6B5572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D8D1C546"/>
    <w:multiLevelType w:val="multilevel"/>
    <w:tmpl w:val="D8D1C54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D92BE6F0"/>
    <w:multiLevelType w:val="multilevel"/>
    <w:tmpl w:val="D92BE6F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7D6010A4"/>
    <w:multiLevelType w:val="multilevel"/>
    <w:tmpl w:val="7D6010A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B1E0971"/>
    <w:rsid w:val="4E822567"/>
    <w:rsid w:val="6F7269CD"/>
    <w:rsid w:val="75C054E1"/>
    <w:rsid w:val="7AFC68A5"/>
    <w:rsid w:val="7B200B4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4">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link w:val="1"/>
    <w:qFormat/>
    <w:uiPriority w:val="0"/>
    <w:rPr>
      <w:rFonts w:ascii="Arial" w:hAnsi="Arial" w:eastAsia="Arial" w:cs="Arial"/>
      <w:snapToGrid w:val="0"/>
      <w:color w:val="000000"/>
      <w:kern w:val="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GIF"/><Relationship Id="rId8" Type="http://schemas.openxmlformats.org/officeDocument/2006/relationships/image" Target="media/image2.GIF"/><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1556</Words>
  <Characters>10355</Characters>
  <TotalTime>3857</TotalTime>
  <ScaleCrop>false</ScaleCrop>
  <LinksUpToDate>false</LinksUpToDate>
  <CharactersWithSpaces>11618</CharactersWithSpaces>
  <Application>WPS Office_12.1.0.24657_F1E327BC-269C-435d-A152-05C5408002CA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2025-04-22T11:35:00Z</dcterms:created>
  <dc:creator>Liam</dc:creator>
  <cp:lastModifiedBy>井余</cp:lastModifiedBy>
  <dcterms:modified xsi:type="dcterms:W3CDTF">2026-01-26T07:41:15Z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2025-05-07T11:01:13Z</vt:filetime>
  </property>
  <property fmtid="{D5CDD505-2E9C-101B-9397-08002B2CF9AE}" pid="4" name="KSOTemplateDocerSaveRecord">
    <vt:lpwstr>eyJoZGlkIjoiOTNhODkwYjM2MDUyMzc1YjQwY2E0ZWU3NzUzMmUzMmQiLCJ1c2VySWQiOiI2NDU3OTg4NDgifQ==</vt:lpwstr>
  </property>
  <property fmtid="{D5CDD505-2E9C-101B-9397-08002B2CF9AE}" pid="5" name="KSOProductBuildVer">
    <vt:lpwstr>2052-12.1.0.24657</vt:lpwstr>
  </property>
  <property fmtid="{D5CDD505-2E9C-101B-9397-08002B2CF9AE}" pid="6" name="ICV">
    <vt:lpwstr>FFE054B4C1B144919BC5B90352F17BF6_13</vt:lpwstr>
  </property>
</Properties>
</file>