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2"/>
        </w:rPr>
        <w:t>ĐÁNH GIÁ RỦI RO PHÁP LÝ</w:t>
      </w:r>
    </w:p>
    <w:p>
      <w:pPr>
        <w:spacing w:after="40"/>
        <w:jc w:val="center"/>
      </w:pPr>
      <w:r>
        <w:rPr>
          <w:b/>
          <w:i w:val="0"/>
          <w:sz w:val="24"/>
        </w:rPr>
        <w:t>Kho Nitro Cellulose (NC) hàng trăm tấn · Nhà máy gần khu dân cư · Khung pháp lý mới 2026</w:t>
      </w:r>
    </w:p>
    <w:p>
      <w:pPr>
        <w:spacing w:after="200"/>
        <w:jc w:val="center"/>
      </w:pPr>
      <w:r>
        <w:rPr>
          <w:b w:val="0"/>
          <w:i w:val="0"/>
          <w:sz w:val="18"/>
        </w:rPr>
        <w:t>BT-Chem · 27/08/2026 · Nghiên cứu 2 agent (Heo Heo: khung pháp lý; Trợ Lý Home: NC, khoảng cách an toàn, liên thông dữ liệu)</w:t>
      </w:r>
    </w:p>
    <w:p>
      <w:pPr>
        <w:spacing w:after="80"/>
      </w:pPr>
      <w:r>
        <w:rPr>
          <w:b/>
          <w:i w:val="0"/>
          <w:sz w:val="26"/>
        </w:rPr>
        <w:t>I. KẾT LUẬN NGẮN GỌN (BOTTOM LINE)</w:t>
      </w:r>
    </w:p>
    <w:p>
      <w:pPr>
        <w:pStyle w:val="ListBullet"/>
        <w:spacing w:after="40"/>
      </w:pPr>
      <w:r>
        <w:rPr>
          <w:b/>
        </w:rPr>
        <w:t xml:space="preserve">⚠️ </w:t>
      </w:r>
      <w:r>
        <w:t>Khung pháp lý quản lý hóa chất ĐÃ ĐƯỢC THAY THẾ HOÀN TOÀN từ năm 2026: Luật Hóa chất 69/2025/QH15 (hiệu lực 01/01/2026) + các Nghị định hướng dẫn mới (24, 25, 26/2026) + Nghị định xử phạt 275/2026/NĐ-CP (hiệu lực 25/08/2026).</w:t>
      </w:r>
    </w:p>
    <w:p>
      <w:pPr>
        <w:pStyle w:val="ListBullet"/>
        <w:spacing w:after="40"/>
      </w:pPr>
      <w:r>
        <w:rPr>
          <w:b/>
        </w:rPr>
        <w:t xml:space="preserve">⚠️ </w:t>
      </w:r>
      <w:r>
        <w:t>GIẤY PHÉP 30 NĂM KHÔNG BẢO VỆ ĐƯỢC: giấy chứng nhận đủ điều kiện theo khung mới có thời hạn 5 năm và phải cấp lại theo quy định mới; quy định mới áp dụng ngay cho hoạt động đang diễn ra, không miễn trừ cho giấy phép cũ.</w:t>
      </w:r>
    </w:p>
    <w:p>
      <w:pPr>
        <w:pStyle w:val="ListBullet"/>
        <w:spacing w:after="40"/>
      </w:pPr>
      <w:r>
        <w:t>Điểm cứu trợ quan trọng: khoảng cách an toàn với khu dân cư — Điều 35 Luật Hóa chất 2025 giao UBND cấp tỉnh ban hành LỘ TRÌNH cho cơ sở hiện hữu → có thời gian xử lý nhưng KHÔNG miễn trừ mãi mãi.</w:t>
      </w:r>
    </w:p>
    <w:p>
      <w:pPr>
        <w:pStyle w:val="ListBullet"/>
        <w:spacing w:after="40"/>
      </w:pPr>
      <w:r>
        <w:t>Liên thông dữ liệu hải quan – Bộ Công Thương ĐÃ VẬN HÀNH qua Cổng một cửa quốc gia (vnsw.gov.vn): lượng NC nhập khẩu của nhà máy nằm trong hệ thống — khi siết, cơ quan quản lý lọc dữ liệu là thấy quy mô tồn trữ.</w:t>
      </w:r>
    </w:p>
    <w:p>
      <w:pPr>
        <w:pStyle w:val="ListBullet"/>
        <w:spacing w:after="40"/>
      </w:pPr>
      <w:r>
        <w:rPr>
          <w:b/>
        </w:rPr>
        <w:t xml:space="preserve">🔴 </w:t>
      </w:r>
      <w:r>
        <w:t>Rủi ro cao nhất: sự cố cháy nổ kho NC gần khu dân cư → truy cứu hình sự theo Điều 312 BLHS (tội vi phạm quy định về quản lý chất cháy, chất độc), phạt tù 1–5 năm, khung tăng nặng đến 10–15 năm + bồi thường dân sự lớn.</w:t>
      </w:r>
    </w:p>
    <w:p>
      <w:pPr>
        <w:spacing w:after="80"/>
      </w:pPr>
      <w:r>
        <w:rPr>
          <w:b w:val="0"/>
          <w:i w:val="0"/>
          <w:sz w:val="22"/>
        </w:rPr>
      </w:r>
    </w:p>
    <w:p>
      <w:pPr>
        <w:spacing w:after="80"/>
      </w:pPr>
      <w:r>
        <w:rPr>
          <w:b/>
          <w:i w:val="0"/>
          <w:sz w:val="26"/>
        </w:rPr>
        <w:t>II. KHUNG PHÁP LÝ HIỆN HÀNH (2026) — Heo Heo</w:t>
      </w:r>
    </w:p>
    <w:tbl>
      <w:tblPr>
        <w:tblStyle w:val="TableGrid"/>
        <w:tblW w:type="auto" w:w="0"/>
        <w:jc w:val="center"/>
        <w:tblLook w:firstColumn="1" w:firstRow="1" w:lastColumn="0" w:lastRow="0" w:noHBand="0" w:noVBand="1" w:val="04A0"/>
      </w:tblPr>
      <w:tblGrid>
        <w:gridCol w:w="5046"/>
        <w:gridCol w:w="5046"/>
      </w:tblGrid>
      <w:tr>
        <w:tc>
          <w:tcPr>
            <w:tcW w:type="dxa" w:w="2948"/>
          </w:tcPr>
          <w:p>
            <w:r>
              <w:rPr>
                <w:b/>
                <w:sz w:val="18"/>
              </w:rPr>
              <w:t>Khung CŨ</w:t>
            </w:r>
          </w:p>
        </w:tc>
        <w:tc>
          <w:tcPr>
            <w:tcW w:type="dxa" w:w="5669"/>
          </w:tcPr>
          <w:p>
            <w:r>
              <w:rPr>
                <w:b/>
                <w:sz w:val="18"/>
              </w:rPr>
              <w:t>Khung MỚI (đang áp dụng từ 2026)</w:t>
            </w:r>
          </w:p>
        </w:tc>
      </w:tr>
      <w:tr>
        <w:tc>
          <w:tcPr>
            <w:tcW w:type="dxa" w:w="2948"/>
          </w:tcPr>
          <w:p>
            <w:r>
              <w:rPr>
                <w:sz w:val="18"/>
              </w:rPr>
              <w:t>Luật Hóa chất 2007</w:t>
            </w:r>
          </w:p>
        </w:tc>
        <w:tc>
          <w:tcPr>
            <w:tcW w:type="dxa" w:w="5669"/>
          </w:tcPr>
          <w:p>
            <w:r>
              <w:rPr>
                <w:sz w:val="18"/>
              </w:rPr>
              <w:t>Luật Hóa chất 2025 (69/2025/QH15) — hiệu lực 01/01/2026</w:t>
            </w:r>
          </w:p>
        </w:tc>
      </w:tr>
      <w:tr>
        <w:tc>
          <w:tcPr>
            <w:tcW w:type="dxa" w:w="2948"/>
          </w:tcPr>
          <w:p>
            <w:r>
              <w:rPr>
                <w:sz w:val="18"/>
              </w:rPr>
              <w:t>NĐ 113/2017 + NĐ 82/2022</w:t>
            </w:r>
          </w:p>
        </w:tc>
        <w:tc>
          <w:tcPr>
            <w:tcW w:type="dxa" w:w="5669"/>
          </w:tcPr>
          <w:p>
            <w:r>
              <w:rPr>
                <w:sz w:val="18"/>
              </w:rPr>
              <w:t>NĐ 25/2026/NĐ-CP (phát triển CN hóa chất + an toàn, an ninh) + NĐ 26/2026/NĐ-CP (quản lý hoạt động hóa chất)</w:t>
            </w:r>
          </w:p>
        </w:tc>
      </w:tr>
      <w:tr>
        <w:tc>
          <w:tcPr>
            <w:tcW w:type="dxa" w:w="2948"/>
          </w:tcPr>
          <w:p>
            <w:r>
              <w:rPr>
                <w:sz w:val="18"/>
              </w:rPr>
              <w:t>Phụ lục của NĐ 113</w:t>
            </w:r>
          </w:p>
        </w:tc>
        <w:tc>
          <w:tcPr>
            <w:tcW w:type="dxa" w:w="5669"/>
          </w:tcPr>
          <w:p>
            <w:r>
              <w:rPr>
                <w:sz w:val="18"/>
              </w:rPr>
              <w:t>NĐ 24/2026/NĐ-CP (danh mục hóa chất — 786 chất)</w:t>
            </w:r>
          </w:p>
        </w:tc>
      </w:tr>
      <w:tr>
        <w:tc>
          <w:tcPr>
            <w:tcW w:type="dxa" w:w="2948"/>
          </w:tcPr>
          <w:p>
            <w:r>
              <w:rPr>
                <w:sz w:val="18"/>
              </w:rPr>
              <w:t>NĐ 115/2021, 71/2019, 17/2022 (xử phạt)</w:t>
            </w:r>
          </w:p>
        </w:tc>
        <w:tc>
          <w:tcPr>
            <w:tcW w:type="dxa" w:w="5669"/>
          </w:tcPr>
          <w:p>
            <w:r>
              <w:rPr>
                <w:sz w:val="18"/>
              </w:rPr>
              <w:t>NĐ 275/2026/NĐ-CP — hiệu lực 25/08/2026 (đúng văn bản nhận được 24/08)</w:t>
            </w:r>
          </w:p>
        </w:tc>
      </w:tr>
    </w:tbl>
    <w:p>
      <w:pPr>
        <w:spacing w:after="40"/>
      </w:pPr>
      <w:r>
        <w:rPr>
          <w:b w:val="0"/>
          <w:i w:val="0"/>
          <w:sz w:val="22"/>
        </w:rPr>
      </w:r>
    </w:p>
    <w:p>
      <w:pPr>
        <w:pStyle w:val="ListBullet"/>
        <w:spacing w:after="40"/>
      </w:pPr>
      <w:r>
        <w:t>Doanh nghiệp sản xuất sơn có NC phải: khai báo hóa chất vào Cơ sở dữ liệu chuyên ngành hóa chất (Điều 12 Luật 2025; Điều 6 NĐ 26/2026; TT 01/2026/TT-BCT); có Giấy chứng nhận đủ điều kiện SXKD hóa chất có điều kiện (UBND cấp tỉnh cấp, thời hạn 5 năm); xây dựng Kế hoạch phòng ngừa ứng phó sự cố hóa chất (PƯSC) + diễn tập hằng năm (trăm tấn NC vượt ngưỡng — Điều 35, 37); phiếu an toàn SDS + nhãn GHS đầy đủ.</w:t>
      </w:r>
    </w:p>
    <w:p>
      <w:pPr>
        <w:pStyle w:val="ListBullet"/>
        <w:spacing w:after="40"/>
      </w:pPr>
      <w:r>
        <w:t>NC chắc chắn là hóa chất nguy hiểm (chất dễ cháy nổ, tự phản ứng theo GHS) — thuộc đối tượng quản lý an toàn, khai báo, PƯSC. Vị trí chính xác trong danh mục 786 chất (NĐ 24/2026) cần rà soát trực tiếp Phụ lục để xác nhận.</w:t>
      </w:r>
    </w:p>
    <w:p>
      <w:pPr>
        <w:pStyle w:val="ListBullet"/>
        <w:spacing w:after="40"/>
      </w:pPr>
      <w:r>
        <w:t>Xu hướng siết 2025–2026 đã thành hiện thực: quản lý hóa chất nguy hiểm trong sản phẩm, hàng hóa (công bố hàm lượng — Điều 31, 32, 37), hóa học xanh có chế tài xử phạt, giao UBND tỉnh quản lý khoảng cách an toàn cơ sở hiện hữu.</w:t>
      </w:r>
    </w:p>
    <w:p>
      <w:pPr>
        <w:spacing w:after="80"/>
      </w:pPr>
      <w:r>
        <w:rPr>
          <w:b w:val="0"/>
          <w:i w:val="0"/>
          <w:sz w:val="22"/>
        </w:rPr>
      </w:r>
    </w:p>
    <w:p>
      <w:pPr>
        <w:spacing w:after="80"/>
      </w:pPr>
      <w:r>
        <w:rPr>
          <w:b/>
          <w:i w:val="0"/>
          <w:sz w:val="26"/>
        </w:rPr>
        <w:t>III. NITRO CELLULOSE: BẢN CHẤT NGUY HIỂM &amp; YÊU CẦU KHO CHỨA — Trợ Lý Home</w:t>
      </w:r>
    </w:p>
    <w:p>
      <w:pPr>
        <w:pStyle w:val="ListBullet"/>
        <w:spacing w:after="40"/>
      </w:pPr>
      <w:r>
        <w:t>NC là chất rắn dễ cháy, tự phản ứng (GHS: Flam. Sol.), phân loại vận chuyển UN 0340–0342/2555–2557 tùy hàm lượng nitơ và chất làm ướt; nguy hiểm nhất khi khô và hàm lượng nitơ cao; thường bảo quản ướt bằng cồn/IPA (dạng NC 14s IPA).</w:t>
      </w:r>
    </w:p>
    <w:p>
      <w:pPr>
        <w:pStyle w:val="ListBullet"/>
        <w:spacing w:after="40"/>
      </w:pPr>
      <w:r>
        <w:t>Yêu cầu kho chứa: kho riêng tách biệt, nhiệt độ 26–30°C, thông gió tốt, chống tĩnh điện, chống nguồn lửa; hạn chế lượng tồn theo giới hạn cho phép; tách xa khu sản xuất và khu vực tập kết người.</w:t>
      </w:r>
    </w:p>
    <w:p>
      <w:pPr>
        <w:pStyle w:val="ListBullet"/>
        <w:spacing w:after="40"/>
      </w:pPr>
      <w:r>
        <w:t>Khoảng cách an toàn với khu dân cư: Luật BVMT 2020 (Điều 53) yêu cầu cơ sở chứa chất dễ cháy nổ phải bảo đảm khoảng cách an toàn môi trường; QCVN 01:2025/BTNMT (ban hành 02/2025) quy định chi tiết khoảng cách an toàn đối với khu dân cư + dải cây xanh cách ly (tối thiểu 10–20m); tham chiếu QCVN 01:2021/BXD và TCVN 4449:1987. Nhóm cơ sở hóa chất nguy hiểm thường yêu cầu khoảng cách lớn (hàng trăm mét) tùy loại hình.</w:t>
      </w:r>
    </w:p>
    <w:p>
      <w:pPr>
        <w:pStyle w:val="ListBullet"/>
        <w:spacing w:after="40"/>
      </w:pPr>
      <w:r>
        <w:t>PCCC: kho chứa hóa chất nguy hiểm phải thẩm duyệt thiết kế PCCC (NĐ 136/2020/NĐ-CP), hệ thống chữa cháy tự động, phương án chữa cháy, tập huấn diễn tập định kỳ; QCVN 06:2022/BXD về an toàn cháy.</w:t>
      </w:r>
    </w:p>
    <w:p>
      <w:pPr>
        <w:spacing w:after="80"/>
      </w:pPr>
      <w:r>
        <w:rPr>
          <w:b w:val="0"/>
          <w:i w:val="0"/>
          <w:sz w:val="22"/>
        </w:rPr>
      </w:r>
    </w:p>
    <w:p>
      <w:pPr>
        <w:spacing w:after="80"/>
      </w:pPr>
      <w:r>
        <w:rPr>
          <w:b/>
          <w:i w:val="0"/>
          <w:sz w:val="26"/>
        </w:rPr>
        <w:t>IV. LIÊN THÔNG DỮ LIỆU HẢI QUAN – BỘ CÔNG THƯƠNG (đã vận hành)</w:t>
      </w:r>
    </w:p>
    <w:p>
      <w:pPr>
        <w:pStyle w:val="ListBullet"/>
        <w:spacing w:after="40"/>
      </w:pPr>
      <w:r>
        <w:t>Hệ thống khai báo hóa chất nhập khẩu trên Cổng một cửa quốc gia (vnsw.gov.vn) do Cục Hóa chất (BCT) phối hợp Tổng cục Hải quan nâng cấp — hải quan tra cứu trực tiếp giấy phép của doanh nghiệp, phản hồi tự động.</w:t>
      </w:r>
    </w:p>
    <w:p>
      <w:pPr>
        <w:pStyle w:val="ListBullet"/>
        <w:spacing w:after="40"/>
      </w:pPr>
      <w:r>
        <w:t>Khai báo hóa chất nguy hiểm nhập khẩu (mẫu 13a) là điều kiện để thông quan → mỗi lô NC nhập về đều ghi nhận số lượng, tần suất, nhà cung cấp trong hệ thống.</w:t>
      </w:r>
    </w:p>
    <w:p>
      <w:pPr>
        <w:pStyle w:val="ListBullet"/>
        <w:spacing w:after="40"/>
      </w:pPr>
      <w:r>
        <w:t>Hệ quả: khi cơ quan quản lý siết kiểm tra, chỉ cần lọc dữ liệu tổng lượng NC nhập – tiêu thụ, sẽ ước tính được quy mô tồn trữ (hàng trăm tấn) mà không cần xuống kho. Đây là cơ sở để khoanh vùng kiểm tra đột xuất, yêu cầu giải trình, hoặc đưa vào diện giám sát đặc biệt.</w:t>
      </w:r>
    </w:p>
    <w:p>
      <w:pPr>
        <w:spacing w:after="80"/>
      </w:pPr>
      <w:r>
        <w:rPr>
          <w:b w:val="0"/>
          <w:i w:val="0"/>
          <w:sz w:val="22"/>
        </w:rPr>
      </w:r>
    </w:p>
    <w:p>
      <w:pPr>
        <w:spacing w:after="80"/>
      </w:pPr>
      <w:r>
        <w:rPr>
          <w:b/>
          <w:i w:val="0"/>
          <w:sz w:val="26"/>
        </w:rPr>
        <w:t>V. HẬU QUẢ NẾU BỊ SIẾT KIỂM TRA</w:t>
      </w:r>
    </w:p>
    <w:tbl>
      <w:tblPr>
        <w:tblStyle w:val="TableGrid"/>
        <w:tblW w:type="auto" w:w="0"/>
        <w:jc w:val="center"/>
        <w:tblLook w:firstColumn="1" w:firstRow="1" w:lastColumn="0" w:lastRow="0" w:noHBand="0" w:noVBand="1" w:val="04A0"/>
      </w:tblPr>
      <w:tblGrid>
        <w:gridCol w:w="3364"/>
        <w:gridCol w:w="3364"/>
        <w:gridCol w:w="3364"/>
      </w:tblGrid>
      <w:tr>
        <w:tc>
          <w:tcPr>
            <w:tcW w:type="dxa" w:w="1474"/>
          </w:tcPr>
          <w:p>
            <w:r>
              <w:rPr>
                <w:b/>
                <w:sz w:val="17"/>
              </w:rPr>
              <w:t>Mức độ</w:t>
            </w:r>
          </w:p>
        </w:tc>
        <w:tc>
          <w:tcPr>
            <w:tcW w:type="dxa" w:w="4876"/>
          </w:tcPr>
          <w:p>
            <w:r>
              <w:rPr>
                <w:b/>
                <w:sz w:val="17"/>
              </w:rPr>
              <w:t>Hậu quả</w:t>
            </w:r>
          </w:p>
        </w:tc>
        <w:tc>
          <w:tcPr>
            <w:tcW w:type="dxa" w:w="2494"/>
          </w:tcPr>
          <w:p>
            <w:r>
              <w:rPr>
                <w:b/>
                <w:sz w:val="17"/>
              </w:rPr>
              <w:t>Căn cứ</w:t>
            </w:r>
          </w:p>
        </w:tc>
      </w:tr>
      <w:tr>
        <w:tc>
          <w:tcPr>
            <w:tcW w:type="dxa" w:w="1474"/>
          </w:tcPr>
          <w:p>
            <w:r>
              <w:rPr>
                <w:sz w:val="17"/>
              </w:rPr>
              <w:t>Hành chính</w:t>
            </w:r>
          </w:p>
        </w:tc>
        <w:tc>
          <w:tcPr>
            <w:tcW w:type="dxa" w:w="4876"/>
          </w:tcPr>
          <w:p>
            <w:r>
              <w:rPr>
                <w:sz w:val="17"/>
              </w:rPr>
              <w:t>Phạt tiền tối đa 50 triệu (cá nhân) / 100 triệu (tổ chức) mỗi hành vi; phạt mới nhóm hóa học xanh tối đa 20 triệu; đình chỉ hoạt động; buộc khắc phục hậu quả</w:t>
            </w:r>
          </w:p>
        </w:tc>
        <w:tc>
          <w:tcPr>
            <w:tcW w:type="dxa" w:w="2494"/>
          </w:tcPr>
          <w:p>
            <w:r>
              <w:rPr>
                <w:sz w:val="17"/>
              </w:rPr>
              <w:t>NĐ 275/2026/NĐ-CP (hiệu lực 25/08/2026)</w:t>
            </w:r>
          </w:p>
        </w:tc>
      </w:tr>
      <w:tr>
        <w:tc>
          <w:tcPr>
            <w:tcW w:type="dxa" w:w="1474"/>
          </w:tcPr>
          <w:p>
            <w:r>
              <w:rPr>
                <w:sz w:val="17"/>
              </w:rPr>
              <w:t>Giấy phép</w:t>
            </w:r>
          </w:p>
        </w:tc>
        <w:tc>
          <w:tcPr>
            <w:tcW w:type="dxa" w:w="4876"/>
          </w:tcPr>
          <w:p>
            <w:r>
              <w:rPr>
                <w:sz w:val="17"/>
              </w:rPr>
              <w:t>Thu hồi / không gia hạn Giấy chứng nhận đủ điều kiện nếu không đáp ứng điều kiện mới (thời hạn 5 năm, cấp lại theo NĐ 24/2026)</w:t>
            </w:r>
          </w:p>
        </w:tc>
        <w:tc>
          <w:tcPr>
            <w:tcW w:type="dxa" w:w="2494"/>
          </w:tcPr>
          <w:p>
            <w:r>
              <w:rPr>
                <w:sz w:val="17"/>
              </w:rPr>
              <w:t>Luật Hóa chất 2025; NĐ 24/2026</w:t>
            </w:r>
          </w:p>
        </w:tc>
      </w:tr>
      <w:tr>
        <w:tc>
          <w:tcPr>
            <w:tcW w:type="dxa" w:w="1474"/>
          </w:tcPr>
          <w:p>
            <w:r>
              <w:rPr>
                <w:sz w:val="17"/>
              </w:rPr>
              <w:t>Khoảng cách dân cư</w:t>
            </w:r>
          </w:p>
        </w:tc>
        <w:tc>
          <w:tcPr>
            <w:tcW w:type="dxa" w:w="4876"/>
          </w:tcPr>
          <w:p>
            <w:r>
              <w:rPr>
                <w:sz w:val="17"/>
              </w:rPr>
              <w:t>Yêu cầu di dời kho / hạn chế tồn trữ / xây dựng lộ trình khắc phục theo UBND tỉnh; nếu không tuân thủ lộ trình → đình chỉ</w:t>
            </w:r>
          </w:p>
        </w:tc>
        <w:tc>
          <w:tcPr>
            <w:tcW w:type="dxa" w:w="2494"/>
          </w:tcPr>
          <w:p>
            <w:r>
              <w:rPr>
                <w:sz w:val="17"/>
              </w:rPr>
              <w:t>Điều 35 Luật Hóa chất 2025; QCVN 01:2025/BTNMT; Điều 53 Luật BVMT 2020</w:t>
            </w:r>
          </w:p>
        </w:tc>
      </w:tr>
      <w:tr>
        <w:tc>
          <w:tcPr>
            <w:tcW w:type="dxa" w:w="1474"/>
          </w:tcPr>
          <w:p>
            <w:r>
              <w:rPr>
                <w:sz w:val="17"/>
              </w:rPr>
              <w:t>Hình sự</w:t>
            </w:r>
          </w:p>
        </w:tc>
        <w:tc>
          <w:tcPr>
            <w:tcW w:type="dxa" w:w="4876"/>
          </w:tcPr>
          <w:p>
            <w:r>
              <w:rPr>
                <w:sz w:val="17"/>
              </w:rPr>
              <w:t>Sự cố cháy nổ gây chết người/thương tích/thiệt hại lớn → Điều 312 BLHS: phạt tù 1–5 năm; khung tăng nặng 5–10 năm, 10–15 năm tùy hậu quả + bồi thường dân sự</w:t>
            </w:r>
          </w:p>
        </w:tc>
        <w:tc>
          <w:tcPr>
            <w:tcW w:type="dxa" w:w="2494"/>
          </w:tcPr>
          <w:p>
            <w:r>
              <w:rPr>
                <w:sz w:val="17"/>
              </w:rPr>
              <w:t>Điều 312 Bộ luật Hình sự 2015</w:t>
            </w:r>
          </w:p>
        </w:tc>
      </w:tr>
    </w:tbl>
    <w:p>
      <w:pPr>
        <w:spacing w:after="80"/>
      </w:pPr>
      <w:r>
        <w:rPr>
          <w:b w:val="0"/>
          <w:i w:val="0"/>
          <w:sz w:val="22"/>
        </w:rPr>
      </w:r>
    </w:p>
    <w:p>
      <w:pPr>
        <w:spacing w:after="80"/>
      </w:pPr>
      <w:r>
        <w:rPr>
          <w:b/>
          <w:i w:val="0"/>
          <w:sz w:val="26"/>
        </w:rPr>
        <w:t>VI. GIẤY PHÉP 30 NĂM — TRẢ LỜI TRỰC TIẾP</w:t>
      </w:r>
    </w:p>
    <w:p>
      <w:pPr>
        <w:pStyle w:val="ListBullet"/>
        <w:spacing w:after="40"/>
      </w:pPr>
      <w:r>
        <w:t>KHÔNG phải lá bùa hộ mệnh. Nguyên tắc: quy định mới áp dụng ngay cho hoạt động đang diễn ra; giấy phép cũ chỉ còn giá trị đến hết thời hạn chuyển đổi theo quy định.</w:t>
      </w:r>
    </w:p>
    <w:p>
      <w:pPr>
        <w:pStyle w:val="ListBullet"/>
        <w:spacing w:after="40"/>
      </w:pPr>
      <w:r>
        <w:t>Giấy chứng nhận đủ điều kiện theo khung mới có thời hạn 5 năm — doanh nghiệp phải chủ động cấp lại/đối chiếu theo NĐ 24/2026, không tự động kéo dài.</w:t>
      </w:r>
    </w:p>
    <w:p>
      <w:pPr>
        <w:pStyle w:val="ListBullet"/>
        <w:spacing w:after="40"/>
      </w:pPr>
      <w:r>
        <w:t>Điểm cứu trợ có giới hạn: Điều 35 Luật Hóa chất 2025 cho phép UBND tỉnh ban hành lộ trình cho cơ sở hiện hữu chưa đạt khoảng cách an toàn — nên chủ động xin lộ trình TRƯỚC, đừng chờ bị xử lý.</w:t>
      </w:r>
    </w:p>
    <w:p>
      <w:pPr>
        <w:spacing w:after="80"/>
      </w:pPr>
      <w:r>
        <w:rPr>
          <w:b w:val="0"/>
          <w:i w:val="0"/>
          <w:sz w:val="22"/>
        </w:rPr>
      </w:r>
    </w:p>
    <w:p>
      <w:pPr>
        <w:spacing w:after="80"/>
      </w:pPr>
      <w:r>
        <w:rPr>
          <w:b/>
          <w:i w:val="0"/>
          <w:sz w:val="26"/>
        </w:rPr>
        <w:t>VII. CHECKLIST HÀNH ĐỘNG KHUYẾN NGHỊ</w:t>
      </w:r>
    </w:p>
    <w:p>
      <w:pPr>
        <w:pStyle w:val="ListBullet"/>
        <w:spacing w:after="40"/>
      </w:pPr>
      <w:r>
        <w:rPr>
          <w:b/>
        </w:rPr>
        <w:t xml:space="preserve">1️⃣ </w:t>
      </w:r>
      <w:r>
        <w:t>Rà soát hồ sơ theo khung mới NGAY: đối chiếu giấy phép cũ với NĐ 24/2026 (thời hạn 5 năm, thủ tục cấp lại), kiểm tra khai báo trên Cơ sở dữ liệu chuyên ngành hóa chất, SDS + nhãn GHS đầy đủ.</w:t>
      </w:r>
    </w:p>
    <w:p>
      <w:pPr>
        <w:pStyle w:val="ListBullet"/>
        <w:spacing w:after="40"/>
      </w:pPr>
      <w:r>
        <w:rPr>
          <w:b/>
        </w:rPr>
        <w:t xml:space="preserve">2️⃣ </w:t>
      </w:r>
      <w:r>
        <w:t>Xây dựng Kế hoạch phòng ngừa ứng phó sự cố hóa chất (PƯSC) + diễn tập hằng năm — bắt buộc do vượt ngưỡng NC; gửi cơ quan quản lý đúng hạn.</w:t>
      </w:r>
    </w:p>
    <w:p>
      <w:pPr>
        <w:pStyle w:val="ListBullet"/>
        <w:spacing w:after="40"/>
      </w:pPr>
      <w:r>
        <w:rPr>
          <w:b/>
        </w:rPr>
        <w:t xml:space="preserve">3️⃣ </w:t>
      </w:r>
      <w:r>
        <w:t>Đo đạc khoảng cách thực tế từ kho NC đến khu dân cư gần nhất, đối chiếu QCVN 01:2025/BTNMT; chủ động xin UBND tỉnh ban hành lộ trình theo Điều 35 Luật Hóa chất 2025.</w:t>
      </w:r>
    </w:p>
    <w:p>
      <w:pPr>
        <w:pStyle w:val="ListBullet"/>
        <w:spacing w:after="40"/>
      </w:pPr>
      <w:r>
        <w:rPr>
          <w:b/>
        </w:rPr>
        <w:t xml:space="preserve">4️⃣ </w:t>
      </w:r>
      <w:r>
        <w:t>Giảm thiểu lượng tồn NC: chuyển sang nhập theo lô nhỏ/JIT, tăng vòng quay kho — hàng trăm tấn tồn là rủi ro hình ảnh + pháp lý lớn nhất khi dữ liệu liên thông.</w:t>
      </w:r>
    </w:p>
    <w:p>
      <w:pPr>
        <w:pStyle w:val="ListBullet"/>
        <w:spacing w:after="40"/>
      </w:pPr>
      <w:r>
        <w:rPr>
          <w:b/>
        </w:rPr>
        <w:t xml:space="preserve">5️⃣ </w:t>
      </w:r>
      <w:r>
        <w:t>PCCC: rà soát thẩm duyệt, hệ thống chữa cháy tự động, chống tĩnh điện, kho NC tách biệt khỏi khu sản xuất; tổ chức diễn tập định kỳ.</w:t>
      </w:r>
    </w:p>
    <w:p>
      <w:pPr>
        <w:pStyle w:val="ListBullet"/>
        <w:spacing w:after="40"/>
      </w:pPr>
      <w:r>
        <w:rPr>
          <w:b/>
        </w:rPr>
        <w:t xml:space="preserve">6️⃣ </w:t>
      </w:r>
      <w:r>
        <w:t>Minh bạch với chính quyền địa phương: chủ động mời kiểm tra định kỳ, lưu hồ sơ tuân thủ — chủ động luôn tốt hơn bị động khi siết.</w:t>
      </w:r>
    </w:p>
    <w:p>
      <w:pPr>
        <w:pStyle w:val="ListBullet"/>
        <w:spacing w:after="40"/>
      </w:pPr>
      <w:r>
        <w:rPr>
          <w:b/>
        </w:rPr>
        <w:t xml:space="preserve">7️⃣ </w:t>
      </w:r>
      <w:r>
        <w:t>Theo dõi văn bản mới: Luật 69/2025/QH15, NĐ 24/25/26/2026, NĐ 275/2026, TT 01-02/2026/TT-BCT; rà soát Phụ lục NĐ 24/2026 xác nhận vị trí NC (đang chưa xác minh).</w:t>
      </w:r>
    </w:p>
    <w:p>
      <w:pPr>
        <w:pStyle w:val="ListBullet"/>
        <w:spacing w:after="40"/>
      </w:pPr>
      <w:r>
        <w:rPr>
          <w:b/>
        </w:rPr>
        <w:t xml:space="preserve">8️⃣ </w:t>
      </w:r>
      <w:r>
        <w:t>Thuê luật sư/tư vấn chuyên ngành hóa chất rà soát toàn diện — chi phí nhỏ so với rủi ro đình chỉ/di dời/hình sự.</w:t>
      </w:r>
    </w:p>
    <w:p>
      <w:pPr>
        <w:spacing w:after="80"/>
      </w:pPr>
      <w:r>
        <w:rPr>
          <w:b w:val="0"/>
          <w:i w:val="0"/>
          <w:sz w:val="22"/>
        </w:rPr>
      </w:r>
    </w:p>
    <w:p>
      <w:pPr>
        <w:spacing w:after="120"/>
      </w:pPr>
      <w:r>
        <w:rPr>
          <w:b w:val="0"/>
          <w:i w:val="0"/>
          <w:sz w:val="17"/>
        </w:rPr>
        <w:t>Nguồn: Luật Hóa chất 69/2025/QH15, NĐ 24/25/26/2026/NĐ-CP, NĐ 275/2026/NĐ-CP, TT 01-02/2026/TT-BCT, QCVN 01:2025/BTNMT, QCVN 01:2021/BXD, QCVN 06:2022/BXD, Luật BVMT 2020 (Điều 53), BLHS 2015 (Điều 312), Cổng một cửa quốc gia vnsw.gov.vn.</w:t>
      </w:r>
    </w:p>
    <w:p>
      <w:pPr>
        <w:spacing w:after="120"/>
      </w:pPr>
      <w:r>
        <w:rPr>
          <w:b w:val="0"/>
          <w:i/>
          <w:sz w:val="18"/>
        </w:rPr>
        <w:t>LƯU Ý: Tài liệu này là tổng hợp nghiên cứu tham khảo, KHÔNG phải tư vấn pháp lý chính thức. Các chi tiết cụ thể (vị trí NC trong danh mục, mức phạt từng hành vi) cần đối chiếu văn bản gốc và ý kiến luật sư chuyên ngành.</w:t>
      </w:r>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