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sz w:val="32"/>
        </w:rPr>
        <w:t>BỘ TÀI LIỆU TEST HÀNG MEKONG</w:t>
        <w:br/>
      </w:r>
      <w:r>
        <w:rPr>
          <w:rFonts w:ascii="Arial" w:hAnsi="Arial"/>
          <w:b/>
          <w:sz w:val="28"/>
        </w:rPr>
        <w:t>HƯỚNG DẪN THỬ NGHIỆM CHẤT LƯỢNG BỀ MẶT SẢN PHẨM</w:t>
      </w:r>
    </w:p>
    <w:p>
      <w:pPr>
        <w:spacing w:after="160" w:line="245" w:lineRule="auto"/>
        <w:jc w:val="center"/>
      </w:pPr>
      <w:r>
        <w:rPr>
          <w:rFonts w:ascii="Arial" w:hAnsi="Arial" w:eastAsia="Arial"/>
          <w:b w:val="0"/>
          <w:i/>
          <w:sz w:val="21"/>
        </w:rPr>
        <w:t>SOP — áp dụng cho bề mặt gỗ tự nhiên, veneer, đá, kim loại và lớp sơn hoàn thiện</w:t>
      </w:r>
    </w:p>
    <w:p>
      <w:pPr>
        <w:spacing w:after="120" w:line="245" w:lineRule="auto"/>
      </w:pPr>
      <w:r>
        <w:rPr>
          <w:rFonts w:ascii="Arial" w:hAnsi="Arial" w:eastAsia="Arial"/>
          <w:b w:val="0"/>
          <w:i/>
          <w:sz w:val="21"/>
        </w:rPr>
        <w:t>Lưu ý kiểm soát: Tài liệu này là hướng dẫn nội bộ để chuẩn bị và ghi nhận mẫu. Khi gửi phòng thử nghiệm bên thứ ba, phải đối chiếu bản tiêu chuẩn hiện hành và yêu cầu chính thức của khách hàng/phòng thử nghiệm. Không thay thế toàn văn tiêu chuẩn có bản quyền.</w:t>
      </w:r>
    </w:p>
    <w:p>
      <w:pPr>
        <w:pStyle w:val="Heading1"/>
      </w:pPr>
      <w:r>
        <w:t>I. QUY ĐỊNH CHUNG</w:t>
      </w:r>
    </w:p>
    <w:p>
      <w:pPr>
        <w:spacing w:after="60" w:line="245" w:lineRule="auto"/>
      </w:pPr>
      <w:r>
        <w:rPr>
          <w:rFonts w:ascii="Arial" w:hAnsi="Arial" w:eastAsia="Arial"/>
          <w:b w:val="0"/>
          <w:i w:val="0"/>
          <w:sz w:val="21"/>
        </w:rPr>
        <w:t>Mục đích: Hướng dẫn kiểm tra độ bền cơ lý, độ bền màu và khả năng kháng nước nóng, lạnh, hóa chất/chất bẩn cho bề mặt sản phẩm nội thất.</w:t>
      </w:r>
    </w:p>
    <w:p>
      <w:pPr>
        <w:spacing w:after="60" w:line="245" w:lineRule="auto"/>
      </w:pPr>
      <w:r>
        <w:rPr>
          <w:rFonts w:ascii="Arial" w:hAnsi="Arial" w:eastAsia="Arial"/>
          <w:b w:val="0"/>
          <w:i w:val="0"/>
          <w:sz w:val="21"/>
        </w:rPr>
        <w:t>Điều kiện môi trường: 23 ± 2 °C; RH 50 ± 5 %; ổn định mẫu tối thiểu 24 giờ trước khi đo, trừ khi phương pháp quy định khác.</w:t>
      </w:r>
    </w:p>
    <w:p>
      <w:pPr>
        <w:spacing w:after="60" w:line="245" w:lineRule="auto"/>
      </w:pPr>
      <w:r>
        <w:rPr>
          <w:rFonts w:ascii="Arial" w:hAnsi="Arial" w:eastAsia="Arial"/>
          <w:b w:val="0"/>
          <w:i w:val="0"/>
          <w:sz w:val="21"/>
        </w:rPr>
        <w:t>Nhận diện mẫu: mỗi mẫu phải có mã mẫu, vật liệu/nền, hệ sơn, màu/độ bóng, ngày hoàn thiện, chiều dày màng nếu có, ngày gửi và người thực hiện.</w:t>
      </w:r>
    </w:p>
    <w:p>
      <w:pPr>
        <w:pStyle w:val="Heading1"/>
      </w:pPr>
      <w:r>
        <w:t>PHẦN 1. ĐỘ BỀN CƠ HỌC VÀ VẬT LÝ</w:t>
      </w:r>
    </w:p>
    <w:p>
      <w:pPr>
        <w:pStyle w:val="Heading2"/>
      </w:pPr>
      <w:r>
        <w:t>1. Độ cứng chì (Pencil Hardness Test)</w:t>
      </w:r>
    </w:p>
    <w:p>
      <w:pPr>
        <w:spacing w:after="60" w:line="245" w:lineRule="auto"/>
      </w:pPr>
      <w:r>
        <w:rPr>
          <w:rFonts w:ascii="Arial" w:hAnsi="Arial" w:eastAsia="Arial"/>
          <w:b w:val="0"/>
          <w:i w:val="0"/>
          <w:sz w:val="21"/>
        </w:rPr>
        <w:t>Tiêu chuẩn: ASTM D3363-2020. Phạm vi: màng phủ hữu cơ trên gỗ, veneer, đá, kim loại và mặt bàn. Yêu cầu nội bộ: Gouge và Scratch đạt tối thiểu 2H.</w:t>
      </w:r>
    </w:p>
    <w:p>
      <w:pPr>
        <w:pStyle w:val="Heading3"/>
      </w:pPr>
      <w:r>
        <w:t>1.1. Thiết bị và chuẩn bị</w:t>
      </w:r>
    </w:p>
    <w:p>
      <w:pPr>
        <w:pStyle w:val="ListBullet"/>
      </w:pPr>
      <w:r>
        <w:t>Bộ bút chì 6B–6H, gồm F, HB, H, 2H, 3H; gọt lộ lõi 5–6 mm.</w:t>
      </w:r>
    </w:p>
    <w:p>
      <w:pPr>
        <w:pStyle w:val="ListBullet"/>
      </w:pPr>
      <w:r>
        <w:t>Giấy nhám grit 400; đồ gá góc 45° và tải 750 g / 7,5 N hoặc thiết bị tương đương.</w:t>
      </w:r>
    </w:p>
    <w:p>
      <w:pPr>
        <w:pStyle w:val="ListBullet"/>
      </w:pPr>
      <w:r>
        <w:t>Khăn mềm/bông gòn; mẫu sạch, khô, màng đã đóng rắn tối thiểu 7 ngày.</w:t>
      </w:r>
    </w:p>
    <w:p>
      <w:pPr>
        <w:pStyle w:val="Heading3"/>
      </w:pPr>
      <w:r>
        <w:t>1.2. Thực hiện và đánh giá</w:t>
      </w:r>
    </w:p>
    <w:p>
      <w:pPr>
        <w:pStyle w:val="ListNumber"/>
      </w:pPr>
      <w:r>
        <w:t>Mài đầu chì phẳng, vuông cạnh trên giấy nhám 400; không làm nứt lõi.</w:t>
      </w:r>
    </w:p>
    <w:p>
      <w:pPr>
        <w:pStyle w:val="ListNumber"/>
      </w:pPr>
      <w:r>
        <w:t>Gá bút ở 45°, đầu chì hướng theo chiều đẩy; đẩy ít nhất 6,5 mm với tốc độ 0,5–1 mm/s.</w:t>
      </w:r>
    </w:p>
    <w:p>
      <w:pPr>
        <w:pStyle w:val="ListNumber"/>
      </w:pPr>
      <w:r>
        <w:t>Mỗi cấp chì thử tối thiểu 3 vị trí khác nhau.</w:t>
      </w:r>
    </w:p>
    <w:p>
      <w:pPr>
        <w:pStyle w:val="ListNumber"/>
      </w:pPr>
      <w:r>
        <w:t>Ghi riêng Gouge (cắt/lún qua màng đến nền) và Scratch (vết xước nhìn thấy). Không có khuyết tật tại 2H: Đạt.</w:t>
      </w:r>
    </w:p>
    <w:p>
      <w:pPr>
        <w:pStyle w:val="Heading2"/>
      </w:pPr>
      <w:r>
        <w:t>2. Độ bền mài mòn (Abrasion Resistance)</w:t>
      </w:r>
    </w:p>
    <w:p>
      <w:pPr>
        <w:spacing w:after="60" w:line="245" w:lineRule="auto"/>
      </w:pPr>
      <w:r>
        <w:rPr>
          <w:rFonts w:ascii="Arial" w:hAnsi="Arial" w:eastAsia="Arial"/>
          <w:b w:val="0"/>
          <w:i w:val="0"/>
          <w:sz w:val="21"/>
        </w:rPr>
        <w:t>Tiêu chuẩn: EN 15185:2011. Phạm vi: bề mặt gỗ/veneer. EN 15185 là phương pháp đánh giá độ bền mài mòn bề mặt đồ nội thất; không áp dụng cho bề mặt da/dệt và một số bề mặt thuộc EN 14434. Yêu cầu dự án: IP xuất hiện từ 80 chu kỳ trở lên: Đạt.</w:t>
      </w:r>
    </w:p>
    <w:p>
      <w:pPr>
        <w:pStyle w:val="Heading3"/>
      </w:pPr>
      <w:r>
        <w:t>2.1. Gửi mẫu và thực hiện</w:t>
      </w:r>
    </w:p>
    <w:p>
      <w:pPr>
        <w:pStyle w:val="ListNumber"/>
      </w:pPr>
      <w:r>
        <w:t>Cắt mẫu 100 × 100 mm hoặc theo phòng thử nghiệm; khoan lỗ tâm nếu thiết bị yêu cầu.</w:t>
      </w:r>
    </w:p>
    <w:p>
      <w:pPr>
        <w:pStyle w:val="ListNumber"/>
      </w:pPr>
      <w:r>
        <w:t>Đóng gói chống xước, ghi mã vật liệu, quy cách hoàn thiện, ngày sản xuất và phiếu yêu cầu EN 15185.</w:t>
      </w:r>
    </w:p>
    <w:p>
      <w:pPr>
        <w:pStyle w:val="ListNumber"/>
      </w:pPr>
      <w:r>
        <w:t>Phòng thử nghiệm dùng máy mài quay, giấy nhám hiệu chuẩn, tải theo EN 15185, hút bụi và kính phóng đại.</w:t>
      </w:r>
    </w:p>
    <w:p>
      <w:pPr>
        <w:pStyle w:val="ListNumber"/>
      </w:pPr>
      <w:r>
        <w:t>Quan sát sau mỗi 20 chu kỳ; ghi IP khi lớp phủ bị mài thủng làm lộ gỗ/veneer.</w:t>
      </w:r>
    </w:p>
    <w:p>
      <w:pPr>
        <w:pStyle w:val="Heading2"/>
      </w:pPr>
      <w:r>
        <w:t>3. Độ bền với nước nóng (Resistance to Hot Water)</w:t>
      </w:r>
    </w:p>
    <w:p>
      <w:pPr>
        <w:spacing w:after="60" w:line="245" w:lineRule="auto"/>
      </w:pPr>
      <w:r>
        <w:rPr>
          <w:rFonts w:ascii="Arial" w:hAnsi="Arial" w:eastAsia="Arial"/>
          <w:b w:val="0"/>
          <w:i w:val="0"/>
          <w:sz w:val="21"/>
        </w:rPr>
        <w:t>Tiêu chuẩn: CPSD-HL-03039-MTHD. Phạm vi: tất cả bề mặt hoàn thiện. Yêu cầu: sau thử không đổi màu, phồng rộp, nứt hoặc khuyết tật nhìn thấy bằng mắt thường.</w:t>
      </w:r>
    </w:p>
    <w:p>
      <w:pPr>
        <w:pStyle w:val="Heading3"/>
      </w:pPr>
      <w:r>
        <w:t>3.1. Thiết bị</w:t>
      </w:r>
    </w:p>
    <w:p>
      <w:pPr>
        <w:pStyle w:val="ListBullet"/>
      </w:pPr>
      <w:r>
        <w:t>Bình đun nước sôi; nước cất hoặc nước lọc sạch.</w:t>
      </w:r>
    </w:p>
    <w:p>
      <w:pPr>
        <w:pStyle w:val="ListBullet"/>
      </w:pPr>
      <w:r>
        <w:t>Cốc borosilicate 250–500 ml; nhiệt kế đến 110 °C; đồng hồ bấm giờ.</w:t>
      </w:r>
    </w:p>
    <w:p>
      <w:pPr>
        <w:pStyle w:val="ListBullet"/>
      </w:pPr>
      <w:r>
        <w:t>Khăn cotton/microfiber; đèn kiểm tra tối thiểu 1000 lux.</w:t>
      </w:r>
    </w:p>
    <w:p>
      <w:pPr>
        <w:pStyle w:val="Heading3"/>
      </w:pPr>
      <w:r>
        <w:t>3.2. Quy trình</w:t>
      </w:r>
    </w:p>
    <w:p>
      <w:pPr>
        <w:pStyle w:val="ListNumber"/>
      </w:pPr>
      <w:r>
        <w:t>Đun nước và kiểm tra đạt 98–100 °C tại thời điểm rót.</w:t>
      </w:r>
    </w:p>
    <w:p>
      <w:pPr>
        <w:pStyle w:val="ListNumber"/>
      </w:pPr>
      <w:r>
        <w:t>Đặt mẫu nằm ngang; rót tạo vũng đường kính khoảng 50–70 mm hoặc dùng bình đáy phẳng theo CPSD-HL-03039.</w:t>
      </w:r>
    </w:p>
    <w:p>
      <w:pPr>
        <w:pStyle w:val="ListNumber"/>
      </w:pPr>
      <w:r>
        <w:t>Duy trì thời gian tiếp xúc theo phương pháp/phòng thử nghiệm: giữ đến nguội hoặc 15–20 phút nếu quy trình đã chốt.</w:t>
      </w:r>
    </w:p>
    <w:p>
      <w:pPr>
        <w:pStyle w:val="ListNumber"/>
      </w:pPr>
      <w:r>
        <w:t>Thấm khô, không chà mạnh; ổn định 24 giờ. Quan sát ở góc 45° và 90° dưới nguồn sáng chuẩn.</w:t>
      </w:r>
    </w:p>
    <w:p>
      <w:pPr>
        <w:pStyle w:val="ListNumber"/>
      </w:pPr>
      <w:r>
        <w:t>Ghi phồng rộp, trắng màng, nứt, đổi màu hoặc thay đổi độ bóng. Không có khuyết tật: Đạt.</w:t>
      </w:r>
    </w:p>
    <w:p>
      <w:pPr>
        <w:pStyle w:val="Heading2"/>
      </w:pPr>
      <w:r>
        <w:t>4. Kháng hư hại do lạnh (Resistance to Cold Damage)</w:t>
      </w:r>
    </w:p>
    <w:p>
      <w:pPr>
        <w:spacing w:after="60" w:line="245" w:lineRule="auto"/>
      </w:pPr>
      <w:r>
        <w:rPr>
          <w:rFonts w:ascii="Arial" w:hAnsi="Arial" w:eastAsia="Arial"/>
          <w:b w:val="0"/>
          <w:i w:val="0"/>
          <w:sz w:val="21"/>
        </w:rPr>
        <w:t>Tiêu chuẩn: CPSD-GB-01058-MTHD. Phạm vi: mặt bàn tiếp xúc đồ uống lạnh. Yêu cầu: sau 60 phút không có vòng tròn, ố nước, phồng rộp hoặc hư hại.</w:t>
      </w:r>
    </w:p>
    <w:p>
      <w:pPr>
        <w:pStyle w:val="ListNumber"/>
      </w:pPr>
      <w:r>
        <w:t>Dùng cốc thủy tinh đáy phẳng đường kính khoảng 60–80 mm, đá viên, nước sạch và đồng hồ.</w:t>
      </w:r>
    </w:p>
    <w:p>
      <w:pPr>
        <w:pStyle w:val="ListNumber"/>
      </w:pPr>
      <w:r>
        <w:t>Cho đá đầy cốc, thêm nước lạnh đến khoảng 2/3 cốc; đặt trực tiếp lên mẫu trong đúng 60 phút.</w:t>
      </w:r>
    </w:p>
    <w:p>
      <w:pPr>
        <w:pStyle w:val="ListNumber"/>
      </w:pPr>
      <w:r>
        <w:t>Nhấc cốc, thấm khô; ổn định 1–24 giờ. Quan sát dưới ánh sáng khuếch tán. Không quầng mờ, mất bóng hoặc phai màu: Đạt.</w:t>
      </w:r>
    </w:p>
    <w:p>
      <w:pPr>
        <w:pStyle w:val="Heading1"/>
      </w:pPr>
      <w:r>
        <w:t>PHẦN 2. ĐỘ BỀN MÀU VÀ CHỐNG BÁM BẨN</w:t>
      </w:r>
    </w:p>
    <w:p>
      <w:pPr>
        <w:pStyle w:val="Heading2"/>
      </w:pPr>
      <w:r>
        <w:t>5. Độ bền màu dưới tia UV (Colorfastness to UV Light)</w:t>
      </w:r>
    </w:p>
    <w:p>
      <w:pPr>
        <w:spacing w:after="60" w:line="245" w:lineRule="auto"/>
      </w:pPr>
      <w:r>
        <w:rPr>
          <w:rFonts w:ascii="Arial" w:hAnsi="Arial" w:eastAsia="Arial"/>
          <w:b w:val="0"/>
          <w:i w:val="0"/>
          <w:sz w:val="21"/>
        </w:rPr>
        <w:t>Tiêu chuẩn: ASTM G154-23. Phạm vi dự án: sơn trắng, Light Oak, Natural Oak và Ash. Tần suất: 6 tháng/lần. Yêu cầu: Grey Scale tối thiểu Grade 4,0.</w:t>
      </w:r>
    </w:p>
    <w:p>
      <w:pPr>
        <w:spacing w:after="60" w:line="245" w:lineRule="auto"/>
      </w:pPr>
      <w:r>
        <w:rPr>
          <w:rFonts w:ascii="Arial" w:hAnsi="Arial" w:eastAsia="Arial"/>
          <w:b w:val="0"/>
          <w:i w:val="0"/>
          <w:sz w:val="21"/>
        </w:rPr>
        <w:t>Cảnh báo kỹ thuật: ASTM G154 là thực hành vận hành thiết bị đèn UV huỳnh quang. UVA-351 phải được xác nhận đúng cấu hình theo phương pháp đã phê duyệt; kết quả tìm kiếm ASTM/Q-Lab cho thấy từng loại đèn có mục đích mô phỏng khác nhau. Không tự suy ra “UVA-351 = 351 nm” thay cho phân bố phổ và cài đặt của thiết bị.</w:t>
      </w:r>
    </w:p>
    <w:p>
      <w:pPr>
        <w:pStyle w:val="Heading3"/>
      </w:pPr>
      <w:r>
        <w:t>5.1. Thiết bị và chu kỳ</w:t>
      </w:r>
    </w:p>
    <w:p>
      <w:pPr>
        <w:pStyle w:val="ListBullet"/>
      </w:pPr>
      <w:r>
        <w:t>Buồng QUV; đèn UVA-351 theo chương trình được phê duyệt; thang xám AATCC/ISO 105-A02 hoặc máy đo màu ΔE.</w:t>
      </w:r>
    </w:p>
    <w:p>
      <w:pPr>
        <w:pStyle w:val="ListBullet"/>
      </w:pPr>
      <w:r>
        <w:t>Che 1/2 mẫu bằng băng/tấm nhôm để tạo vùng đối chứng. Mẫu thường 75 × 150 mm theo khay máy.</w:t>
      </w:r>
    </w:p>
    <w:p>
      <w:pPr>
        <w:pStyle w:val="ListBullet"/>
      </w:pPr>
      <w:r>
        <w:t>Chương trình dự kiến: 8 giờ UV + 4 giờ condensation, không phun nước, nhiệt condensation khoảng 50 °C.</w:t>
      </w:r>
    </w:p>
    <w:p>
      <w:pPr>
        <w:pStyle w:val="ListBullet"/>
      </w:pPr>
      <w:r>
        <w:t>Kiểm tra số chu kỳ: 9 × 12 giờ = 108 giờ. Nếu hồ sơ yêu cầu tổng 104 giờ, phải ghi rõ chương trình hiệu chỉnh và được phòng thử nghiệm xác nhận trước khi chạy.</w:t>
      </w:r>
    </w:p>
    <w:p>
      <w:pPr>
        <w:pStyle w:val="Heading3"/>
      </w:pPr>
      <w:r>
        <w:t>5.2. Đánh giá</w:t>
      </w:r>
    </w:p>
    <w:p>
      <w:pPr>
        <w:pStyle w:val="ListNumber"/>
      </w:pPr>
      <w:r>
        <w:t>Sau thử, tháo che chắn và ổn định 2 giờ. So sánh vùng chiếu và vùng đối chứng dưới nguồn D65.</w:t>
      </w:r>
    </w:p>
    <w:p>
      <w:pPr>
        <w:pStyle w:val="ListNumber"/>
      </w:pPr>
      <w:r>
        <w:t>Grade 4,0–5,0: Đạt; dưới 4,0: Không đạt. Ghi thêm ΔE nếu có máy đo.</w:t>
      </w:r>
    </w:p>
    <w:p>
      <w:pPr>
        <w:pStyle w:val="Heading2"/>
      </w:pPr>
      <w:r>
        <w:t>6. Độ bền chống bám bẩn (Stain Resistance)</w:t>
      </w:r>
    </w:p>
    <w:p>
      <w:pPr>
        <w:spacing w:after="60" w:line="245" w:lineRule="auto"/>
      </w:pPr>
      <w:r>
        <w:rPr>
          <w:rFonts w:ascii="Arial" w:hAnsi="Arial" w:eastAsia="Arial"/>
          <w:b w:val="0"/>
          <w:i w:val="0"/>
          <w:sz w:val="21"/>
        </w:rPr>
        <w:t>Tiêu chuẩn: CPSD-HL-01015-MTHD. Phạm vi bắt buộc: mặt bàn, mặt kệ, mặt trước và mặt trên tủ hộc kéo. Yêu cầu: không ố màu, không thấm bẩn, dễ làm sạch và không có khuyết tật sau lau.</w:t>
      </w:r>
    </w:p>
    <w:p>
      <w:pPr>
        <w:pStyle w:val="Heading3"/>
      </w:pPr>
      <w:r>
        <w:t>6.1. Chất thử và thời gian</w:t>
      </w:r>
    </w:p>
    <w:tbl>
      <w:tblPr>
        <w:tblStyle w:val="TableGrid"/>
        <w:tblW w:type="auto" w:w="0"/>
        <w:jc w:val="center"/>
        <w:tblLook w:firstColumn="1" w:firstRow="1" w:lastColumn="0" w:lastRow="0" w:noHBand="0" w:noVBand="1" w:val="04A0"/>
      </w:tblPr>
      <w:tblGrid>
        <w:gridCol w:w="2521"/>
        <w:gridCol w:w="2521"/>
        <w:gridCol w:w="2521"/>
        <w:gridCol w:w="2521"/>
      </w:tblGrid>
      <w:tr>
        <w:tc>
          <w:tcPr>
            <w:tcW w:type="dxa" w:w="2521"/>
            <w:shd w:fill="D9EAF7"/>
            <w:vAlign w:val="center"/>
          </w:tcPr>
          <w:p>
            <w:pPr>
              <w:spacing w:after="0"/>
            </w:pPr>
            <w:r>
              <w:rPr>
                <w:rFonts w:ascii="Arial" w:hAnsi="Arial" w:eastAsia="Arial"/>
                <w:b/>
                <w:sz w:val="17"/>
              </w:rPr>
              <w:t>STT</w:t>
            </w:r>
          </w:p>
        </w:tc>
        <w:tc>
          <w:tcPr>
            <w:tcW w:type="dxa" w:w="2521"/>
            <w:shd w:fill="D9EAF7"/>
            <w:vAlign w:val="center"/>
          </w:tcPr>
          <w:p>
            <w:pPr>
              <w:spacing w:after="0"/>
            </w:pPr>
            <w:r>
              <w:rPr>
                <w:rFonts w:ascii="Arial" w:hAnsi="Arial" w:eastAsia="Arial"/>
                <w:b/>
                <w:sz w:val="17"/>
              </w:rPr>
              <w:t>Chất thử</w:t>
            </w:r>
          </w:p>
        </w:tc>
        <w:tc>
          <w:tcPr>
            <w:tcW w:type="dxa" w:w="2521"/>
            <w:shd w:fill="D9EAF7"/>
            <w:vAlign w:val="center"/>
          </w:tcPr>
          <w:p>
            <w:pPr>
              <w:spacing w:after="0"/>
            </w:pPr>
            <w:r>
              <w:rPr>
                <w:rFonts w:ascii="Arial" w:hAnsi="Arial" w:eastAsia="Arial"/>
                <w:b/>
                <w:sz w:val="17"/>
              </w:rPr>
              <w:t>Mốc tiếp xúc</w:t>
            </w:r>
          </w:p>
        </w:tc>
        <w:tc>
          <w:tcPr>
            <w:tcW w:type="dxa" w:w="2521"/>
            <w:shd w:fill="D9EAF7"/>
            <w:vAlign w:val="center"/>
          </w:tcPr>
          <w:p>
            <w:pPr>
              <w:spacing w:after="0"/>
            </w:pPr>
            <w:r>
              <w:rPr>
                <w:rFonts w:ascii="Arial" w:hAnsi="Arial" w:eastAsia="Arial"/>
                <w:b/>
                <w:sz w:val="17"/>
              </w:rPr>
              <w:t>Giới hạn</w:t>
            </w:r>
          </w:p>
        </w:tc>
      </w:tr>
      <w:tr>
        <w:tc>
          <w:tcPr>
            <w:tcW w:type="dxa" w:w="2521"/>
            <w:vAlign w:val="center"/>
          </w:tcPr>
          <w:p>
            <w:pPr>
              <w:spacing w:after="0"/>
            </w:pPr>
            <w:r>
              <w:rPr>
                <w:rFonts w:ascii="Arial" w:hAnsi="Arial" w:eastAsia="Arial"/>
                <w:sz w:val="17"/>
              </w:rPr>
              <w:t>1</w:t>
            </w:r>
          </w:p>
        </w:tc>
        <w:tc>
          <w:tcPr>
            <w:tcW w:type="dxa" w:w="2521"/>
            <w:vAlign w:val="center"/>
          </w:tcPr>
          <w:p>
            <w:pPr>
              <w:spacing w:after="0"/>
            </w:pPr>
            <w:r>
              <w:rPr>
                <w:rFonts w:ascii="Arial" w:hAnsi="Arial" w:eastAsia="Arial"/>
                <w:sz w:val="17"/>
              </w:rPr>
              <w:t>Sốt cà chua</w:t>
            </w:r>
          </w:p>
        </w:tc>
        <w:tc>
          <w:tcPr>
            <w:tcW w:type="dxa" w:w="2521"/>
            <w:vAlign w:val="center"/>
          </w:tcPr>
          <w:p>
            <w:pPr>
              <w:spacing w:after="0"/>
            </w:pPr>
            <w:r>
              <w:rPr>
                <w:rFonts w:ascii="Arial" w:hAnsi="Arial" w:eastAsia="Arial"/>
                <w:sz w:val="17"/>
              </w:rPr>
              <w:t>1, 15, 30 phút; 1, 2 giờ</w:t>
            </w:r>
          </w:p>
        </w:tc>
        <w:tc>
          <w:tcPr>
            <w:tcW w:type="dxa" w:w="2521"/>
            <w:vAlign w:val="center"/>
          </w:tcPr>
          <w:p>
            <w:pPr>
              <w:spacing w:after="0"/>
            </w:pPr>
            <w:r>
              <w:rPr>
                <w:rFonts w:ascii="Arial" w:hAnsi="Arial" w:eastAsia="Arial"/>
                <w:sz w:val="17"/>
              </w:rPr>
              <w:t>Đậy kính</w:t>
            </w:r>
          </w:p>
        </w:tc>
      </w:tr>
      <w:tr>
        <w:tc>
          <w:tcPr>
            <w:tcW w:type="dxa" w:w="2521"/>
            <w:vAlign w:val="center"/>
          </w:tcPr>
          <w:p>
            <w:pPr>
              <w:spacing w:after="0"/>
            </w:pPr>
            <w:r>
              <w:rPr>
                <w:rFonts w:ascii="Arial" w:hAnsi="Arial" w:eastAsia="Arial"/>
                <w:sz w:val="17"/>
              </w:rPr>
              <w:t>2</w:t>
            </w:r>
          </w:p>
        </w:tc>
        <w:tc>
          <w:tcPr>
            <w:tcW w:type="dxa" w:w="2521"/>
            <w:vAlign w:val="center"/>
          </w:tcPr>
          <w:p>
            <w:pPr>
              <w:spacing w:after="0"/>
            </w:pPr>
            <w:r>
              <w:rPr>
                <w:rFonts w:ascii="Arial" w:hAnsi="Arial" w:eastAsia="Arial"/>
                <w:sz w:val="17"/>
              </w:rPr>
              <w:t>Mù tạt</w:t>
            </w:r>
          </w:p>
        </w:tc>
        <w:tc>
          <w:tcPr>
            <w:tcW w:type="dxa" w:w="2521"/>
            <w:vAlign w:val="center"/>
          </w:tcPr>
          <w:p>
            <w:pPr>
              <w:spacing w:after="0"/>
            </w:pPr>
            <w:r>
              <w:rPr>
                <w:rFonts w:ascii="Arial" w:hAnsi="Arial" w:eastAsia="Arial"/>
                <w:sz w:val="17"/>
              </w:rPr>
              <w:t>1, 15, 30 phút; tối đa 1 giờ</w:t>
            </w:r>
          </w:p>
        </w:tc>
        <w:tc>
          <w:tcPr>
            <w:tcW w:type="dxa" w:w="2521"/>
            <w:vAlign w:val="center"/>
          </w:tcPr>
          <w:p>
            <w:pPr>
              <w:spacing w:after="0"/>
            </w:pPr>
            <w:r>
              <w:rPr>
                <w:rFonts w:ascii="Arial" w:hAnsi="Arial" w:eastAsia="Arial"/>
                <w:sz w:val="17"/>
              </w:rPr>
              <w:t>Không quá 1 giờ</w:t>
            </w:r>
          </w:p>
        </w:tc>
      </w:tr>
      <w:tr>
        <w:tc>
          <w:tcPr>
            <w:tcW w:type="dxa" w:w="2521"/>
            <w:vAlign w:val="center"/>
          </w:tcPr>
          <w:p>
            <w:pPr>
              <w:spacing w:after="0"/>
            </w:pPr>
            <w:r>
              <w:rPr>
                <w:rFonts w:ascii="Arial" w:hAnsi="Arial" w:eastAsia="Arial"/>
                <w:sz w:val="17"/>
              </w:rPr>
              <w:t>3</w:t>
            </w:r>
          </w:p>
        </w:tc>
        <w:tc>
          <w:tcPr>
            <w:tcW w:type="dxa" w:w="2521"/>
            <w:vAlign w:val="center"/>
          </w:tcPr>
          <w:p>
            <w:pPr>
              <w:spacing w:after="0"/>
            </w:pPr>
            <w:r>
              <w:rPr>
                <w:rFonts w:ascii="Arial" w:hAnsi="Arial" w:eastAsia="Arial"/>
                <w:sz w:val="17"/>
              </w:rPr>
              <w:t>Cà phê đen</w:t>
            </w:r>
          </w:p>
        </w:tc>
        <w:tc>
          <w:tcPr>
            <w:tcW w:type="dxa" w:w="2521"/>
            <w:vAlign w:val="center"/>
          </w:tcPr>
          <w:p>
            <w:pPr>
              <w:spacing w:after="0"/>
            </w:pPr>
            <w:r>
              <w:rPr>
                <w:rFonts w:ascii="Arial" w:hAnsi="Arial" w:eastAsia="Arial"/>
                <w:sz w:val="17"/>
              </w:rPr>
              <w:t>1, 15, 30 phút; 1, 2 giờ</w:t>
            </w:r>
          </w:p>
        </w:tc>
        <w:tc>
          <w:tcPr>
            <w:tcW w:type="dxa" w:w="2521"/>
            <w:vAlign w:val="center"/>
          </w:tcPr>
          <w:p>
            <w:pPr>
              <w:spacing w:after="0"/>
            </w:pPr>
            <w:r>
              <w:rPr>
                <w:rFonts w:ascii="Arial" w:hAnsi="Arial" w:eastAsia="Arial"/>
                <w:sz w:val="17"/>
              </w:rPr>
              <w:t>Đậy kính</w:t>
            </w:r>
          </w:p>
        </w:tc>
      </w:tr>
      <w:tr>
        <w:tc>
          <w:tcPr>
            <w:tcW w:type="dxa" w:w="2521"/>
            <w:vAlign w:val="center"/>
          </w:tcPr>
          <w:p>
            <w:pPr>
              <w:spacing w:after="0"/>
            </w:pPr>
            <w:r>
              <w:rPr>
                <w:rFonts w:ascii="Arial" w:hAnsi="Arial" w:eastAsia="Arial"/>
                <w:sz w:val="17"/>
              </w:rPr>
              <w:t>4</w:t>
            </w:r>
          </w:p>
        </w:tc>
        <w:tc>
          <w:tcPr>
            <w:tcW w:type="dxa" w:w="2521"/>
            <w:vAlign w:val="center"/>
          </w:tcPr>
          <w:p>
            <w:pPr>
              <w:spacing w:after="0"/>
            </w:pPr>
            <w:r>
              <w:rPr>
                <w:rFonts w:ascii="Arial" w:hAnsi="Arial" w:eastAsia="Arial"/>
                <w:sz w:val="17"/>
              </w:rPr>
              <w:t>Trà đen</w:t>
            </w:r>
          </w:p>
        </w:tc>
        <w:tc>
          <w:tcPr>
            <w:tcW w:type="dxa" w:w="2521"/>
            <w:vAlign w:val="center"/>
          </w:tcPr>
          <w:p>
            <w:pPr>
              <w:spacing w:after="0"/>
            </w:pPr>
            <w:r>
              <w:rPr>
                <w:rFonts w:ascii="Arial" w:hAnsi="Arial" w:eastAsia="Arial"/>
                <w:sz w:val="17"/>
              </w:rPr>
              <w:t>1, 15, 30 phút; 1, 2 giờ</w:t>
            </w:r>
          </w:p>
        </w:tc>
        <w:tc>
          <w:tcPr>
            <w:tcW w:type="dxa" w:w="2521"/>
            <w:vAlign w:val="center"/>
          </w:tcPr>
          <w:p>
            <w:pPr>
              <w:spacing w:after="0"/>
            </w:pPr>
            <w:r>
              <w:rPr>
                <w:rFonts w:ascii="Arial" w:hAnsi="Arial" w:eastAsia="Arial"/>
                <w:sz w:val="17"/>
              </w:rPr>
              <w:t>Đậy kính</w:t>
            </w:r>
          </w:p>
        </w:tc>
      </w:tr>
      <w:tr>
        <w:tc>
          <w:tcPr>
            <w:tcW w:type="dxa" w:w="2521"/>
            <w:vAlign w:val="center"/>
          </w:tcPr>
          <w:p>
            <w:pPr>
              <w:spacing w:after="0"/>
            </w:pPr>
            <w:r>
              <w:rPr>
                <w:rFonts w:ascii="Arial" w:hAnsi="Arial" w:eastAsia="Arial"/>
                <w:sz w:val="17"/>
              </w:rPr>
              <w:t>5</w:t>
            </w:r>
          </w:p>
        </w:tc>
        <w:tc>
          <w:tcPr>
            <w:tcW w:type="dxa" w:w="2521"/>
            <w:vAlign w:val="center"/>
          </w:tcPr>
          <w:p>
            <w:pPr>
              <w:spacing w:after="0"/>
            </w:pPr>
            <w:r>
              <w:rPr>
                <w:rFonts w:ascii="Arial" w:hAnsi="Arial" w:eastAsia="Arial"/>
                <w:sz w:val="17"/>
              </w:rPr>
              <w:t>Coke/Pepsi</w:t>
            </w:r>
          </w:p>
        </w:tc>
        <w:tc>
          <w:tcPr>
            <w:tcW w:type="dxa" w:w="2521"/>
            <w:vAlign w:val="center"/>
          </w:tcPr>
          <w:p>
            <w:pPr>
              <w:spacing w:after="0"/>
            </w:pPr>
            <w:r>
              <w:rPr>
                <w:rFonts w:ascii="Arial" w:hAnsi="Arial" w:eastAsia="Arial"/>
                <w:sz w:val="17"/>
              </w:rPr>
              <w:t>1, 15, 30 phút; 1, 2 giờ</w:t>
            </w:r>
          </w:p>
        </w:tc>
        <w:tc>
          <w:tcPr>
            <w:tcW w:type="dxa" w:w="2521"/>
            <w:vAlign w:val="center"/>
          </w:tcPr>
          <w:p>
            <w:pPr>
              <w:spacing w:after="0"/>
            </w:pPr>
            <w:r>
              <w:rPr>
                <w:rFonts w:ascii="Arial" w:hAnsi="Arial" w:eastAsia="Arial"/>
                <w:sz w:val="17"/>
              </w:rPr>
              <w:t>Đậy kính</w:t>
            </w:r>
          </w:p>
        </w:tc>
      </w:tr>
      <w:tr>
        <w:tc>
          <w:tcPr>
            <w:tcW w:type="dxa" w:w="2521"/>
            <w:vAlign w:val="center"/>
          </w:tcPr>
          <w:p>
            <w:pPr>
              <w:spacing w:after="0"/>
            </w:pPr>
            <w:r>
              <w:rPr>
                <w:rFonts w:ascii="Arial" w:hAnsi="Arial" w:eastAsia="Arial"/>
                <w:sz w:val="17"/>
              </w:rPr>
              <w:t>6</w:t>
            </w:r>
          </w:p>
        </w:tc>
        <w:tc>
          <w:tcPr>
            <w:tcW w:type="dxa" w:w="2521"/>
            <w:vAlign w:val="center"/>
          </w:tcPr>
          <w:p>
            <w:pPr>
              <w:spacing w:after="0"/>
            </w:pPr>
            <w:r>
              <w:rPr>
                <w:rFonts w:ascii="Arial" w:hAnsi="Arial" w:eastAsia="Arial"/>
                <w:sz w:val="17"/>
              </w:rPr>
              <w:t>Sốt mỳ Ý</w:t>
            </w:r>
          </w:p>
        </w:tc>
        <w:tc>
          <w:tcPr>
            <w:tcW w:type="dxa" w:w="2521"/>
            <w:vAlign w:val="center"/>
          </w:tcPr>
          <w:p>
            <w:pPr>
              <w:spacing w:after="0"/>
            </w:pPr>
            <w:r>
              <w:rPr>
                <w:rFonts w:ascii="Arial" w:hAnsi="Arial" w:eastAsia="Arial"/>
                <w:sz w:val="17"/>
              </w:rPr>
              <w:t>1, 15, 30 phút; 1, 2 giờ</w:t>
            </w:r>
          </w:p>
        </w:tc>
        <w:tc>
          <w:tcPr>
            <w:tcW w:type="dxa" w:w="2521"/>
            <w:vAlign w:val="center"/>
          </w:tcPr>
          <w:p>
            <w:pPr>
              <w:spacing w:after="0"/>
            </w:pPr>
            <w:r>
              <w:rPr>
                <w:rFonts w:ascii="Arial" w:hAnsi="Arial" w:eastAsia="Arial"/>
                <w:sz w:val="17"/>
              </w:rPr>
              <w:t>Đậy kính</w:t>
            </w:r>
          </w:p>
        </w:tc>
      </w:tr>
      <w:tr>
        <w:tc>
          <w:tcPr>
            <w:tcW w:type="dxa" w:w="2521"/>
            <w:vAlign w:val="center"/>
          </w:tcPr>
          <w:p>
            <w:pPr>
              <w:spacing w:after="0"/>
            </w:pPr>
            <w:r>
              <w:rPr>
                <w:rFonts w:ascii="Arial" w:hAnsi="Arial" w:eastAsia="Arial"/>
                <w:sz w:val="17"/>
              </w:rPr>
              <w:t>7</w:t>
            </w:r>
          </w:p>
        </w:tc>
        <w:tc>
          <w:tcPr>
            <w:tcW w:type="dxa" w:w="2521"/>
            <w:vAlign w:val="center"/>
          </w:tcPr>
          <w:p>
            <w:pPr>
              <w:spacing w:after="0"/>
            </w:pPr>
            <w:r>
              <w:rPr>
                <w:rFonts w:ascii="Arial" w:hAnsi="Arial" w:eastAsia="Arial"/>
                <w:sz w:val="17"/>
              </w:rPr>
              <w:t>Dầu ăn</w:t>
            </w:r>
          </w:p>
        </w:tc>
        <w:tc>
          <w:tcPr>
            <w:tcW w:type="dxa" w:w="2521"/>
            <w:vAlign w:val="center"/>
          </w:tcPr>
          <w:p>
            <w:pPr>
              <w:spacing w:after="0"/>
            </w:pPr>
            <w:r>
              <w:rPr>
                <w:rFonts w:ascii="Arial" w:hAnsi="Arial" w:eastAsia="Arial"/>
                <w:sz w:val="17"/>
              </w:rPr>
              <w:t>1, 15, 30 phút; 1, 2 giờ</w:t>
            </w:r>
          </w:p>
        </w:tc>
        <w:tc>
          <w:tcPr>
            <w:tcW w:type="dxa" w:w="2521"/>
            <w:vAlign w:val="center"/>
          </w:tcPr>
          <w:p>
            <w:pPr>
              <w:spacing w:after="0"/>
            </w:pPr>
            <w:r>
              <w:rPr>
                <w:rFonts w:ascii="Arial" w:hAnsi="Arial" w:eastAsia="Arial"/>
                <w:sz w:val="17"/>
              </w:rPr>
              <w:t>Không bay hơi</w:t>
            </w:r>
          </w:p>
        </w:tc>
      </w:tr>
      <w:tr>
        <w:tc>
          <w:tcPr>
            <w:tcW w:type="dxa" w:w="2521"/>
            <w:vAlign w:val="center"/>
          </w:tcPr>
          <w:p>
            <w:pPr>
              <w:spacing w:after="0"/>
            </w:pPr>
            <w:r>
              <w:rPr>
                <w:rFonts w:ascii="Arial" w:hAnsi="Arial" w:eastAsia="Arial"/>
                <w:sz w:val="17"/>
              </w:rPr>
              <w:t>8</w:t>
            </w:r>
          </w:p>
        </w:tc>
        <w:tc>
          <w:tcPr>
            <w:tcW w:type="dxa" w:w="2521"/>
            <w:vAlign w:val="center"/>
          </w:tcPr>
          <w:p>
            <w:pPr>
              <w:spacing w:after="0"/>
            </w:pPr>
            <w:r>
              <w:rPr>
                <w:rFonts w:ascii="Arial" w:hAnsi="Arial" w:eastAsia="Arial"/>
                <w:sz w:val="17"/>
              </w:rPr>
              <w:t>Rượu vang đỏ Merlot</w:t>
            </w:r>
          </w:p>
        </w:tc>
        <w:tc>
          <w:tcPr>
            <w:tcW w:type="dxa" w:w="2521"/>
            <w:vAlign w:val="center"/>
          </w:tcPr>
          <w:p>
            <w:pPr>
              <w:spacing w:after="0"/>
            </w:pPr>
            <w:r>
              <w:rPr>
                <w:rFonts w:ascii="Arial" w:hAnsi="Arial" w:eastAsia="Arial"/>
                <w:sz w:val="17"/>
              </w:rPr>
              <w:t>1, 15, 30 phút; 1, 2 giờ</w:t>
            </w:r>
          </w:p>
        </w:tc>
        <w:tc>
          <w:tcPr>
            <w:tcW w:type="dxa" w:w="2521"/>
            <w:vAlign w:val="center"/>
          </w:tcPr>
          <w:p>
            <w:pPr>
              <w:spacing w:after="0"/>
            </w:pPr>
            <w:r>
              <w:rPr>
                <w:rFonts w:ascii="Arial" w:hAnsi="Arial" w:eastAsia="Arial"/>
                <w:sz w:val="17"/>
              </w:rPr>
              <w:t>Đậy kính</w:t>
            </w:r>
          </w:p>
        </w:tc>
      </w:tr>
    </w:tbl>
    <w:p>
      <w:pPr>
        <w:pStyle w:val="Heading3"/>
      </w:pPr>
      <w:r>
        <w:t>6.2. Quy trình</w:t>
      </w:r>
    </w:p>
    <w:p>
      <w:pPr>
        <w:pStyle w:val="ListNumber"/>
      </w:pPr>
      <w:r>
        <w:t>Chia ô bằng băng giấy, ghi chất thử và mốc thời gian. Chất lỏng khoảng 0,5 ml; chất sệt khoảng 0,5 g.</w:t>
      </w:r>
    </w:p>
    <w:p>
      <w:pPr>
        <w:pStyle w:val="ListNumber"/>
      </w:pPr>
      <w:r>
        <w:t>Đậy kính đồng hồ, trừ dầu ăn; theo dõi riêng từng mốc.</w:t>
      </w:r>
    </w:p>
    <w:p>
      <w:pPr>
        <w:pStyle w:val="ListNumber"/>
      </w:pPr>
      <w:r>
        <w:t>Đúng thời gian, nhấc kính; lau nhẹ bằng microfiber ẩm nước ấm, không chất tẩy ăn mòn và không chà mạnh; thấm khô.</w:t>
      </w:r>
    </w:p>
    <w:p>
      <w:pPr>
        <w:pStyle w:val="ListNumber"/>
      </w:pPr>
      <w:r>
        <w:t>Ổn định 24 giờ; quan sát dưới nguồn D65 nhiều góc. Không ố ngấm, rộp hoặc đổi bóng: Đạt.</w:t>
      </w:r>
    </w:p>
    <w:p>
      <w:pPr>
        <w:pStyle w:val="Heading1"/>
      </w:pPr>
      <w:r>
        <w:t>PHẦN 3. PHIẾU KẾT QUẢ THỬ NGHIỆM</w:t>
      </w:r>
    </w:p>
    <w:p>
      <w:pPr>
        <w:spacing w:after="60" w:line="245" w:lineRule="auto"/>
      </w:pPr>
      <w:r>
        <w:rPr>
          <w:rFonts w:ascii="Arial" w:hAnsi="Arial" w:eastAsia="Arial"/>
          <w:b w:val="0"/>
          <w:i w:val="0"/>
          <w:sz w:val="21"/>
        </w:rPr>
        <w:t>TÊN CÔNG TY: ............................................................    PHÒNG THỬ NGHIỆM / QC LAB</w:t>
      </w:r>
    </w:p>
    <w:p>
      <w:pPr>
        <w:spacing w:after="60" w:line="245" w:lineRule="auto"/>
      </w:pPr>
      <w:r>
        <w:rPr>
          <w:rFonts w:ascii="Arial" w:hAnsi="Arial" w:eastAsia="Arial"/>
          <w:b w:val="0"/>
          <w:i w:val="0"/>
          <w:sz w:val="21"/>
        </w:rPr>
        <w:t>Số phiếu: ................................    Ngày thử nghiệm: ................................</w:t>
      </w:r>
    </w:p>
    <w:p>
      <w:pPr>
        <w:spacing w:after="60" w:line="245" w:lineRule="auto"/>
      </w:pPr>
      <w:r>
        <w:rPr>
          <w:rFonts w:ascii="Arial" w:hAnsi="Arial" w:eastAsia="Arial"/>
          <w:b w:val="0"/>
          <w:i w:val="0"/>
          <w:sz w:val="21"/>
        </w:rPr>
        <w:t>Tên mẫu/Dự án: ................................    Mã sản phẩm: ................................</w:t>
      </w:r>
    </w:p>
    <w:p>
      <w:pPr>
        <w:spacing w:after="60" w:line="245" w:lineRule="auto"/>
      </w:pPr>
      <w:r>
        <w:rPr>
          <w:rFonts w:ascii="Arial" w:hAnsi="Arial" w:eastAsia="Arial"/>
          <w:b w:val="0"/>
          <w:i w:val="0"/>
          <w:sz w:val="21"/>
        </w:rPr>
        <w:t>Vật liệu/Lớp hoàn thiện: ........................    Người thực hiện: ........................</w:t>
      </w:r>
    </w:p>
    <w:tbl>
      <w:tblPr>
        <w:tblStyle w:val="TableGrid"/>
        <w:tblW w:type="auto" w:w="0"/>
        <w:jc w:val="center"/>
        <w:tblLook w:firstColumn="1" w:firstRow="1" w:lastColumn="0" w:lastRow="0" w:noHBand="0" w:noVBand="1" w:val="04A0"/>
      </w:tblPr>
      <w:tblGrid>
        <w:gridCol w:w="1681"/>
        <w:gridCol w:w="1681"/>
        <w:gridCol w:w="1681"/>
        <w:gridCol w:w="1681"/>
        <w:gridCol w:w="1681"/>
        <w:gridCol w:w="1681"/>
      </w:tblGrid>
      <w:tr>
        <w:tc>
          <w:tcPr>
            <w:tcW w:type="dxa" w:w="1681"/>
            <w:shd w:fill="D9EAF7"/>
            <w:vAlign w:val="center"/>
          </w:tcPr>
          <w:p>
            <w:pPr>
              <w:spacing w:after="0"/>
            </w:pPr>
            <w:r>
              <w:rPr>
                <w:rFonts w:ascii="Arial" w:hAnsi="Arial" w:eastAsia="Arial"/>
                <w:b/>
                <w:sz w:val="17"/>
              </w:rPr>
              <w:t>STT</w:t>
            </w:r>
          </w:p>
        </w:tc>
        <w:tc>
          <w:tcPr>
            <w:tcW w:type="dxa" w:w="1681"/>
            <w:shd w:fill="D9EAF7"/>
            <w:vAlign w:val="center"/>
          </w:tcPr>
          <w:p>
            <w:pPr>
              <w:spacing w:after="0"/>
            </w:pPr>
            <w:r>
              <w:rPr>
                <w:rFonts w:ascii="Arial" w:hAnsi="Arial" w:eastAsia="Arial"/>
                <w:b/>
                <w:sz w:val="17"/>
              </w:rPr>
              <w:t>Hạng mục</w:t>
            </w:r>
          </w:p>
        </w:tc>
        <w:tc>
          <w:tcPr>
            <w:tcW w:type="dxa" w:w="1681"/>
            <w:shd w:fill="D9EAF7"/>
            <w:vAlign w:val="center"/>
          </w:tcPr>
          <w:p>
            <w:pPr>
              <w:spacing w:after="0"/>
            </w:pPr>
            <w:r>
              <w:rPr>
                <w:rFonts w:ascii="Arial" w:hAnsi="Arial" w:eastAsia="Arial"/>
                <w:b/>
                <w:sz w:val="17"/>
              </w:rPr>
              <w:t>Tiêu chuẩn</w:t>
            </w:r>
          </w:p>
        </w:tc>
        <w:tc>
          <w:tcPr>
            <w:tcW w:type="dxa" w:w="1681"/>
            <w:shd w:fill="D9EAF7"/>
            <w:vAlign w:val="center"/>
          </w:tcPr>
          <w:p>
            <w:pPr>
              <w:spacing w:after="0"/>
            </w:pPr>
            <w:r>
              <w:rPr>
                <w:rFonts w:ascii="Arial" w:hAnsi="Arial" w:eastAsia="Arial"/>
                <w:b/>
                <w:sz w:val="17"/>
              </w:rPr>
              <w:t>Yêu cầu</w:t>
            </w:r>
          </w:p>
        </w:tc>
        <w:tc>
          <w:tcPr>
            <w:tcW w:type="dxa" w:w="1681"/>
            <w:shd w:fill="D9EAF7"/>
            <w:vAlign w:val="center"/>
          </w:tcPr>
          <w:p>
            <w:pPr>
              <w:spacing w:after="0"/>
            </w:pPr>
            <w:r>
              <w:rPr>
                <w:rFonts w:ascii="Arial" w:hAnsi="Arial" w:eastAsia="Arial"/>
                <w:b/>
                <w:sz w:val="17"/>
              </w:rPr>
              <w:t>Kết quả</w:t>
            </w:r>
          </w:p>
        </w:tc>
        <w:tc>
          <w:tcPr>
            <w:tcW w:type="dxa" w:w="1681"/>
            <w:shd w:fill="D9EAF7"/>
            <w:vAlign w:val="center"/>
          </w:tcPr>
          <w:p>
            <w:pPr>
              <w:spacing w:after="0"/>
            </w:pPr>
            <w:r>
              <w:rPr>
                <w:rFonts w:ascii="Arial" w:hAnsi="Arial" w:eastAsia="Arial"/>
                <w:b/>
                <w:sz w:val="17"/>
              </w:rPr>
              <w:t>Đánh giá</w:t>
            </w:r>
          </w:p>
        </w:tc>
      </w:tr>
      <w:tr>
        <w:tc>
          <w:tcPr>
            <w:tcW w:type="dxa" w:w="1681"/>
            <w:vAlign w:val="center"/>
          </w:tcPr>
          <w:p>
            <w:pPr>
              <w:spacing w:after="0"/>
            </w:pPr>
            <w:r>
              <w:rPr>
                <w:rFonts w:ascii="Arial" w:hAnsi="Arial" w:eastAsia="Arial"/>
                <w:sz w:val="17"/>
              </w:rPr>
              <w:t>1</w:t>
            </w:r>
          </w:p>
        </w:tc>
        <w:tc>
          <w:tcPr>
            <w:tcW w:type="dxa" w:w="1681"/>
            <w:vAlign w:val="center"/>
          </w:tcPr>
          <w:p>
            <w:pPr>
              <w:spacing w:after="0"/>
            </w:pPr>
            <w:r>
              <w:rPr>
                <w:rFonts w:ascii="Arial" w:hAnsi="Arial" w:eastAsia="Arial"/>
                <w:sz w:val="17"/>
              </w:rPr>
              <w:t>Độ cứng chì</w:t>
            </w:r>
          </w:p>
        </w:tc>
        <w:tc>
          <w:tcPr>
            <w:tcW w:type="dxa" w:w="1681"/>
            <w:vAlign w:val="center"/>
          </w:tcPr>
          <w:p>
            <w:pPr>
              <w:spacing w:after="0"/>
            </w:pPr>
            <w:r>
              <w:rPr>
                <w:rFonts w:ascii="Arial" w:hAnsi="Arial" w:eastAsia="Arial"/>
                <w:sz w:val="17"/>
              </w:rPr>
              <w:t>ASTM D3363-2020</w:t>
            </w:r>
          </w:p>
        </w:tc>
        <w:tc>
          <w:tcPr>
            <w:tcW w:type="dxa" w:w="1681"/>
            <w:vAlign w:val="center"/>
          </w:tcPr>
          <w:p>
            <w:pPr>
              <w:spacing w:after="0"/>
            </w:pPr>
            <w:r>
              <w:rPr>
                <w:rFonts w:ascii="Arial" w:hAnsi="Arial" w:eastAsia="Arial"/>
                <w:sz w:val="17"/>
              </w:rPr>
              <w:t>Gouge &amp; Scratch ≥2H</w:t>
            </w:r>
          </w:p>
        </w:tc>
        <w:tc>
          <w:tcPr>
            <w:tcW w:type="dxa" w:w="1681"/>
            <w:vAlign w:val="center"/>
          </w:tcPr>
          <w:p>
            <w:pPr>
              <w:spacing w:after="0"/>
            </w:pPr>
            <w:r>
              <w:rPr>
                <w:rFonts w:ascii="Arial" w:hAnsi="Arial" w:eastAsia="Arial"/>
                <w:sz w:val="17"/>
              </w:rPr>
            </w:r>
          </w:p>
        </w:tc>
        <w:tc>
          <w:tcPr>
            <w:tcW w:type="dxa" w:w="1681"/>
            <w:vAlign w:val="center"/>
          </w:tcPr>
          <w:p>
            <w:pPr>
              <w:spacing w:after="0"/>
            </w:pPr>
            <w:r>
              <w:rPr>
                <w:rFonts w:ascii="Arial" w:hAnsi="Arial" w:eastAsia="Arial"/>
                <w:sz w:val="17"/>
              </w:rPr>
              <w:t>Đạt/Không</w:t>
            </w:r>
          </w:p>
        </w:tc>
      </w:tr>
      <w:tr>
        <w:tc>
          <w:tcPr>
            <w:tcW w:type="dxa" w:w="1681"/>
            <w:vAlign w:val="center"/>
          </w:tcPr>
          <w:p>
            <w:pPr>
              <w:spacing w:after="0"/>
            </w:pPr>
            <w:r>
              <w:rPr>
                <w:rFonts w:ascii="Arial" w:hAnsi="Arial" w:eastAsia="Arial"/>
                <w:sz w:val="17"/>
              </w:rPr>
              <w:t>2</w:t>
            </w:r>
          </w:p>
        </w:tc>
        <w:tc>
          <w:tcPr>
            <w:tcW w:type="dxa" w:w="1681"/>
            <w:vAlign w:val="center"/>
          </w:tcPr>
          <w:p>
            <w:pPr>
              <w:spacing w:after="0"/>
            </w:pPr>
            <w:r>
              <w:rPr>
                <w:rFonts w:ascii="Arial" w:hAnsi="Arial" w:eastAsia="Arial"/>
                <w:sz w:val="17"/>
              </w:rPr>
              <w:t>Độ bền mài mòn</w:t>
            </w:r>
          </w:p>
        </w:tc>
        <w:tc>
          <w:tcPr>
            <w:tcW w:type="dxa" w:w="1681"/>
            <w:vAlign w:val="center"/>
          </w:tcPr>
          <w:p>
            <w:pPr>
              <w:spacing w:after="0"/>
            </w:pPr>
            <w:r>
              <w:rPr>
                <w:rFonts w:ascii="Arial" w:hAnsi="Arial" w:eastAsia="Arial"/>
                <w:sz w:val="17"/>
              </w:rPr>
              <w:t>EN 15185:2011</w:t>
            </w:r>
          </w:p>
        </w:tc>
        <w:tc>
          <w:tcPr>
            <w:tcW w:type="dxa" w:w="1681"/>
            <w:vAlign w:val="center"/>
          </w:tcPr>
          <w:p>
            <w:pPr>
              <w:spacing w:after="0"/>
            </w:pPr>
            <w:r>
              <w:rPr>
                <w:rFonts w:ascii="Arial" w:hAnsi="Arial" w:eastAsia="Arial"/>
                <w:sz w:val="17"/>
              </w:rPr>
              <w:t>IP ≥80 chu kỳ</w:t>
            </w:r>
          </w:p>
        </w:tc>
        <w:tc>
          <w:tcPr>
            <w:tcW w:type="dxa" w:w="1681"/>
            <w:vAlign w:val="center"/>
          </w:tcPr>
          <w:p>
            <w:pPr>
              <w:spacing w:after="0"/>
            </w:pPr>
            <w:r>
              <w:rPr>
                <w:rFonts w:ascii="Arial" w:hAnsi="Arial" w:eastAsia="Arial"/>
                <w:sz w:val="17"/>
              </w:rPr>
            </w:r>
          </w:p>
        </w:tc>
        <w:tc>
          <w:tcPr>
            <w:tcW w:type="dxa" w:w="1681"/>
            <w:vAlign w:val="center"/>
          </w:tcPr>
          <w:p>
            <w:pPr>
              <w:spacing w:after="0"/>
            </w:pPr>
            <w:r>
              <w:rPr>
                <w:rFonts w:ascii="Arial" w:hAnsi="Arial" w:eastAsia="Arial"/>
                <w:sz w:val="17"/>
              </w:rPr>
              <w:t>Đạt/Không</w:t>
            </w:r>
          </w:p>
        </w:tc>
      </w:tr>
      <w:tr>
        <w:tc>
          <w:tcPr>
            <w:tcW w:type="dxa" w:w="1681"/>
            <w:vAlign w:val="center"/>
          </w:tcPr>
          <w:p>
            <w:pPr>
              <w:spacing w:after="0"/>
            </w:pPr>
            <w:r>
              <w:rPr>
                <w:rFonts w:ascii="Arial" w:hAnsi="Arial" w:eastAsia="Arial"/>
                <w:sz w:val="17"/>
              </w:rPr>
              <w:t>3</w:t>
            </w:r>
          </w:p>
        </w:tc>
        <w:tc>
          <w:tcPr>
            <w:tcW w:type="dxa" w:w="1681"/>
            <w:vAlign w:val="center"/>
          </w:tcPr>
          <w:p>
            <w:pPr>
              <w:spacing w:after="0"/>
            </w:pPr>
            <w:r>
              <w:rPr>
                <w:rFonts w:ascii="Arial" w:hAnsi="Arial" w:eastAsia="Arial"/>
                <w:sz w:val="17"/>
              </w:rPr>
              <w:t>Nước nóng</w:t>
            </w:r>
          </w:p>
        </w:tc>
        <w:tc>
          <w:tcPr>
            <w:tcW w:type="dxa" w:w="1681"/>
            <w:vAlign w:val="center"/>
          </w:tcPr>
          <w:p>
            <w:pPr>
              <w:spacing w:after="0"/>
            </w:pPr>
            <w:r>
              <w:rPr>
                <w:rFonts w:ascii="Arial" w:hAnsi="Arial" w:eastAsia="Arial"/>
                <w:sz w:val="17"/>
              </w:rPr>
              <w:t>CPSD-HL-03039-MTHD</w:t>
            </w:r>
          </w:p>
        </w:tc>
        <w:tc>
          <w:tcPr>
            <w:tcW w:type="dxa" w:w="1681"/>
            <w:vAlign w:val="center"/>
          </w:tcPr>
          <w:p>
            <w:pPr>
              <w:spacing w:after="0"/>
            </w:pPr>
            <w:r>
              <w:rPr>
                <w:rFonts w:ascii="Arial" w:hAnsi="Arial" w:eastAsia="Arial"/>
                <w:sz w:val="17"/>
              </w:rPr>
              <w:t>Không khuyết tật</w:t>
            </w:r>
          </w:p>
        </w:tc>
        <w:tc>
          <w:tcPr>
            <w:tcW w:type="dxa" w:w="1681"/>
            <w:vAlign w:val="center"/>
          </w:tcPr>
          <w:p>
            <w:pPr>
              <w:spacing w:after="0"/>
            </w:pPr>
            <w:r>
              <w:rPr>
                <w:rFonts w:ascii="Arial" w:hAnsi="Arial" w:eastAsia="Arial"/>
                <w:sz w:val="17"/>
              </w:rPr>
            </w:r>
          </w:p>
        </w:tc>
        <w:tc>
          <w:tcPr>
            <w:tcW w:type="dxa" w:w="1681"/>
            <w:vAlign w:val="center"/>
          </w:tcPr>
          <w:p>
            <w:pPr>
              <w:spacing w:after="0"/>
            </w:pPr>
            <w:r>
              <w:rPr>
                <w:rFonts w:ascii="Arial" w:hAnsi="Arial" w:eastAsia="Arial"/>
                <w:sz w:val="17"/>
              </w:rPr>
              <w:t>Đạt/Không</w:t>
            </w:r>
          </w:p>
        </w:tc>
      </w:tr>
      <w:tr>
        <w:tc>
          <w:tcPr>
            <w:tcW w:type="dxa" w:w="1681"/>
            <w:vAlign w:val="center"/>
          </w:tcPr>
          <w:p>
            <w:pPr>
              <w:spacing w:after="0"/>
            </w:pPr>
            <w:r>
              <w:rPr>
                <w:rFonts w:ascii="Arial" w:hAnsi="Arial" w:eastAsia="Arial"/>
                <w:sz w:val="17"/>
              </w:rPr>
              <w:t>4</w:t>
            </w:r>
          </w:p>
        </w:tc>
        <w:tc>
          <w:tcPr>
            <w:tcW w:type="dxa" w:w="1681"/>
            <w:vAlign w:val="center"/>
          </w:tcPr>
          <w:p>
            <w:pPr>
              <w:spacing w:after="0"/>
            </w:pPr>
            <w:r>
              <w:rPr>
                <w:rFonts w:ascii="Arial" w:hAnsi="Arial" w:eastAsia="Arial"/>
                <w:sz w:val="17"/>
              </w:rPr>
              <w:t>Hư hại do lạnh</w:t>
            </w:r>
          </w:p>
        </w:tc>
        <w:tc>
          <w:tcPr>
            <w:tcW w:type="dxa" w:w="1681"/>
            <w:vAlign w:val="center"/>
          </w:tcPr>
          <w:p>
            <w:pPr>
              <w:spacing w:after="0"/>
            </w:pPr>
            <w:r>
              <w:rPr>
                <w:rFonts w:ascii="Arial" w:hAnsi="Arial" w:eastAsia="Arial"/>
                <w:sz w:val="17"/>
              </w:rPr>
              <w:t>CPSD-GB-01058-MTHD</w:t>
            </w:r>
          </w:p>
        </w:tc>
        <w:tc>
          <w:tcPr>
            <w:tcW w:type="dxa" w:w="1681"/>
            <w:vAlign w:val="center"/>
          </w:tcPr>
          <w:p>
            <w:pPr>
              <w:spacing w:after="0"/>
            </w:pPr>
            <w:r>
              <w:rPr>
                <w:rFonts w:ascii="Arial" w:hAnsi="Arial" w:eastAsia="Arial"/>
                <w:sz w:val="17"/>
              </w:rPr>
              <w:t>Không ố/vòng tròn</w:t>
            </w:r>
          </w:p>
        </w:tc>
        <w:tc>
          <w:tcPr>
            <w:tcW w:type="dxa" w:w="1681"/>
            <w:vAlign w:val="center"/>
          </w:tcPr>
          <w:p>
            <w:pPr>
              <w:spacing w:after="0"/>
            </w:pPr>
            <w:r>
              <w:rPr>
                <w:rFonts w:ascii="Arial" w:hAnsi="Arial" w:eastAsia="Arial"/>
                <w:sz w:val="17"/>
              </w:rPr>
            </w:r>
          </w:p>
        </w:tc>
        <w:tc>
          <w:tcPr>
            <w:tcW w:type="dxa" w:w="1681"/>
            <w:vAlign w:val="center"/>
          </w:tcPr>
          <w:p>
            <w:pPr>
              <w:spacing w:after="0"/>
            </w:pPr>
            <w:r>
              <w:rPr>
                <w:rFonts w:ascii="Arial" w:hAnsi="Arial" w:eastAsia="Arial"/>
                <w:sz w:val="17"/>
              </w:rPr>
              <w:t>Đạt/Không</w:t>
            </w:r>
          </w:p>
        </w:tc>
      </w:tr>
      <w:tr>
        <w:tc>
          <w:tcPr>
            <w:tcW w:type="dxa" w:w="1681"/>
            <w:vAlign w:val="center"/>
          </w:tcPr>
          <w:p>
            <w:pPr>
              <w:spacing w:after="0"/>
            </w:pPr>
            <w:r>
              <w:rPr>
                <w:rFonts w:ascii="Arial" w:hAnsi="Arial" w:eastAsia="Arial"/>
                <w:sz w:val="17"/>
              </w:rPr>
              <w:t>5</w:t>
            </w:r>
          </w:p>
        </w:tc>
        <w:tc>
          <w:tcPr>
            <w:tcW w:type="dxa" w:w="1681"/>
            <w:vAlign w:val="center"/>
          </w:tcPr>
          <w:p>
            <w:pPr>
              <w:spacing w:after="0"/>
            </w:pPr>
            <w:r>
              <w:rPr>
                <w:rFonts w:ascii="Arial" w:hAnsi="Arial" w:eastAsia="Arial"/>
                <w:sz w:val="17"/>
              </w:rPr>
              <w:t>Độ bền màu UV</w:t>
            </w:r>
          </w:p>
        </w:tc>
        <w:tc>
          <w:tcPr>
            <w:tcW w:type="dxa" w:w="1681"/>
            <w:vAlign w:val="center"/>
          </w:tcPr>
          <w:p>
            <w:pPr>
              <w:spacing w:after="0"/>
            </w:pPr>
            <w:r>
              <w:rPr>
                <w:rFonts w:ascii="Arial" w:hAnsi="Arial" w:eastAsia="Arial"/>
                <w:sz w:val="17"/>
              </w:rPr>
              <w:t>ASTM G154-23</w:t>
            </w:r>
          </w:p>
        </w:tc>
        <w:tc>
          <w:tcPr>
            <w:tcW w:type="dxa" w:w="1681"/>
            <w:vAlign w:val="center"/>
          </w:tcPr>
          <w:p>
            <w:pPr>
              <w:spacing w:after="0"/>
            </w:pPr>
            <w:r>
              <w:rPr>
                <w:rFonts w:ascii="Arial" w:hAnsi="Arial" w:eastAsia="Arial"/>
                <w:sz w:val="17"/>
              </w:rPr>
              <w:t>Grey Scale ≥4,0</w:t>
            </w:r>
          </w:p>
        </w:tc>
        <w:tc>
          <w:tcPr>
            <w:tcW w:type="dxa" w:w="1681"/>
            <w:vAlign w:val="center"/>
          </w:tcPr>
          <w:p>
            <w:pPr>
              <w:spacing w:after="0"/>
            </w:pPr>
            <w:r>
              <w:rPr>
                <w:rFonts w:ascii="Arial" w:hAnsi="Arial" w:eastAsia="Arial"/>
                <w:sz w:val="17"/>
              </w:rPr>
            </w:r>
          </w:p>
        </w:tc>
        <w:tc>
          <w:tcPr>
            <w:tcW w:type="dxa" w:w="1681"/>
            <w:vAlign w:val="center"/>
          </w:tcPr>
          <w:p>
            <w:pPr>
              <w:spacing w:after="0"/>
            </w:pPr>
            <w:r>
              <w:rPr>
                <w:rFonts w:ascii="Arial" w:hAnsi="Arial" w:eastAsia="Arial"/>
                <w:sz w:val="17"/>
              </w:rPr>
              <w:t>Đạt/Không</w:t>
            </w:r>
          </w:p>
        </w:tc>
      </w:tr>
      <w:tr>
        <w:tc>
          <w:tcPr>
            <w:tcW w:type="dxa" w:w="1681"/>
            <w:vAlign w:val="center"/>
          </w:tcPr>
          <w:p>
            <w:pPr>
              <w:spacing w:after="0"/>
            </w:pPr>
            <w:r>
              <w:rPr>
                <w:rFonts w:ascii="Arial" w:hAnsi="Arial" w:eastAsia="Arial"/>
                <w:sz w:val="17"/>
              </w:rPr>
              <w:t>6</w:t>
            </w:r>
          </w:p>
        </w:tc>
        <w:tc>
          <w:tcPr>
            <w:tcW w:type="dxa" w:w="1681"/>
            <w:vAlign w:val="center"/>
          </w:tcPr>
          <w:p>
            <w:pPr>
              <w:spacing w:after="0"/>
            </w:pPr>
            <w:r>
              <w:rPr>
                <w:rFonts w:ascii="Arial" w:hAnsi="Arial" w:eastAsia="Arial"/>
                <w:sz w:val="17"/>
              </w:rPr>
              <w:t>Chống bám bẩn</w:t>
            </w:r>
          </w:p>
        </w:tc>
        <w:tc>
          <w:tcPr>
            <w:tcW w:type="dxa" w:w="1681"/>
            <w:vAlign w:val="center"/>
          </w:tcPr>
          <w:p>
            <w:pPr>
              <w:spacing w:after="0"/>
            </w:pPr>
            <w:r>
              <w:rPr>
                <w:rFonts w:ascii="Arial" w:hAnsi="Arial" w:eastAsia="Arial"/>
                <w:sz w:val="17"/>
              </w:rPr>
              <w:t>CPSD-HL-01015-MTHD</w:t>
            </w:r>
          </w:p>
        </w:tc>
        <w:tc>
          <w:tcPr>
            <w:tcW w:type="dxa" w:w="1681"/>
            <w:vAlign w:val="center"/>
          </w:tcPr>
          <w:p>
            <w:pPr>
              <w:spacing w:after="0"/>
            </w:pPr>
            <w:r>
              <w:rPr>
                <w:rFonts w:ascii="Arial" w:hAnsi="Arial" w:eastAsia="Arial"/>
                <w:sz w:val="17"/>
              </w:rPr>
              <w:t>Không ố sau 24 giờ</w:t>
            </w:r>
          </w:p>
        </w:tc>
        <w:tc>
          <w:tcPr>
            <w:tcW w:type="dxa" w:w="1681"/>
            <w:vAlign w:val="center"/>
          </w:tcPr>
          <w:p>
            <w:pPr>
              <w:spacing w:after="0"/>
            </w:pPr>
            <w:r>
              <w:rPr>
                <w:rFonts w:ascii="Arial" w:hAnsi="Arial" w:eastAsia="Arial"/>
                <w:sz w:val="17"/>
              </w:rPr>
            </w:r>
          </w:p>
        </w:tc>
        <w:tc>
          <w:tcPr>
            <w:tcW w:type="dxa" w:w="1681"/>
            <w:vAlign w:val="center"/>
          </w:tcPr>
          <w:p>
            <w:pPr>
              <w:spacing w:after="0"/>
            </w:pPr>
            <w:r>
              <w:rPr>
                <w:rFonts w:ascii="Arial" w:hAnsi="Arial" w:eastAsia="Arial"/>
                <w:sz w:val="17"/>
              </w:rPr>
              <w:t>Đạt/Không</w:t>
            </w:r>
          </w:p>
        </w:tc>
      </w:tr>
    </w:tbl>
    <w:p>
      <w:pPr>
        <w:spacing w:after="60" w:line="245" w:lineRule="auto"/>
      </w:pPr>
      <w:r>
        <w:rPr>
          <w:rFonts w:ascii="Arial" w:hAnsi="Arial" w:eastAsia="Arial"/>
          <w:b w:val="0"/>
          <w:i w:val="0"/>
          <w:sz w:val="21"/>
        </w:rPr>
        <w:t>KẾT LUẬN CHUNG:  [ ] ĐẠT YÊU CẦU      [ ] KHÔNG ĐẠT YÊU CẦU</w:t>
      </w:r>
    </w:p>
    <w:p>
      <w:pPr>
        <w:spacing w:after="60" w:line="245" w:lineRule="auto"/>
      </w:pPr>
      <w:r>
        <w:rPr>
          <w:rFonts w:ascii="Arial" w:hAnsi="Arial" w:eastAsia="Arial"/>
          <w:b w:val="0"/>
          <w:i w:val="0"/>
          <w:sz w:val="21"/>
        </w:rPr>
        <w:t>Ý kiến/Ghi chú: ........................................................................................................................</w:t>
      </w:r>
    </w:p>
    <w:p>
      <w:pPr>
        <w:spacing w:after="60" w:line="245" w:lineRule="auto"/>
      </w:pPr>
      <w:r>
        <w:rPr>
          <w:rFonts w:ascii="Arial" w:hAnsi="Arial" w:eastAsia="Arial"/>
          <w:b/>
          <w:i w:val="0"/>
          <w:sz w:val="21"/>
        </w:rPr>
        <w:t>KỸ THUẬT VIÊN THỬ NGHIỆM (Ký, ghi rõ họ tên)                         TRƯỞNG QA/QC (Ký, ghi rõ họ tên)</w:t>
      </w:r>
    </w:p>
    <w:p>
      <w:pPr>
        <w:pStyle w:val="Heading1"/>
      </w:pPr>
      <w:r>
        <w:t>PHẦN 4. KIỂM SOÁT MẪU VÀ HỒ SƠ</w:t>
      </w:r>
    </w:p>
    <w:p>
      <w:pPr>
        <w:pStyle w:val="ListBullet"/>
      </w:pPr>
      <w:r>
        <w:t>Ảnh mẫu trước/sau thử; mã lô; ngày hoàn thiện; điều kiện môi trường; thiết bị và ngày hiệu chuẩn.</w:t>
      </w:r>
    </w:p>
    <w:p>
      <w:pPr>
        <w:pStyle w:val="ListBullet"/>
      </w:pPr>
      <w:r>
        <w:t>Kết quả thô, người đọc kết quả, người kiểm tra độc lập và kết luận.</w:t>
      </w:r>
    </w:p>
    <w:p>
      <w:pPr>
        <w:pStyle w:val="ListBullet"/>
      </w:pPr>
      <w:r>
        <w:t>Với thử EN 15185 hoặc thử UV bằng QUV: gửi phòng thử nghiệm bên thứ ba khi thiết bị/năng lực nội bộ không đáp ứng.</w:t>
      </w:r>
    </w:p>
    <w:p>
      <w:pPr>
        <w:pStyle w:val="ListBullet"/>
      </w:pPr>
      <w:r>
        <w:t>Mọi sai lệch chương trình, đặc biệt tổng thời gian UV 104/108 giờ, phải được ghi vào mục sai lệch và phê duyệt trước khi kết luận.</w:t>
      </w:r>
    </w:p>
    <w:p>
      <w:pPr>
        <w:pStyle w:val="Heading1"/>
      </w:pPr>
      <w:r>
        <w:t>TÀI LIỆU THAM CHIẾU</w:t>
      </w:r>
    </w:p>
    <w:p>
      <w:pPr>
        <w:spacing w:after="60" w:line="245" w:lineRule="auto"/>
      </w:pPr>
      <w:r>
        <w:rPr>
          <w:rFonts w:ascii="Arial" w:hAnsi="Arial" w:eastAsia="Arial"/>
          <w:b w:val="0"/>
          <w:i w:val="0"/>
          <w:sz w:val="21"/>
        </w:rPr>
        <w:t>ASTM D3363-20 — Standard Test Method for Film Hardness by Pencil Test: https://www.astm.org/Standards/D3363.htm</w:t>
      </w:r>
    </w:p>
    <w:p>
      <w:pPr>
        <w:spacing w:after="60" w:line="245" w:lineRule="auto"/>
      </w:pPr>
      <w:r>
        <w:rPr>
          <w:rFonts w:ascii="Arial" w:hAnsi="Arial" w:eastAsia="Arial"/>
          <w:b w:val="0"/>
          <w:i w:val="0"/>
          <w:sz w:val="21"/>
        </w:rPr>
        <w:t>ASTM G154-23 — Standard Practice for Operating Fluorescent Ultraviolet (UV) Lamp Apparatus for Exposure of Materials: https://store.astm.org/g0154-23.html</w:t>
      </w:r>
    </w:p>
    <w:p>
      <w:pPr>
        <w:spacing w:after="60" w:line="245" w:lineRule="auto"/>
      </w:pPr>
      <w:r>
        <w:rPr>
          <w:rFonts w:ascii="Arial" w:hAnsi="Arial" w:eastAsia="Arial"/>
          <w:b w:val="0"/>
          <w:i w:val="0"/>
          <w:sz w:val="21"/>
        </w:rPr>
        <w:t>EN 15185:2011 — Furniture — Assessment of the surface resistance to abrasion: nguồn tra cứu ANSI/DIN và bản tiêu chuẩn do phòng thử nghiệm cung cấp.</w:t>
      </w:r>
    </w:p>
    <w:p>
      <w:pPr>
        <w:spacing w:after="60" w:line="245" w:lineRule="auto"/>
      </w:pPr>
      <w:r>
        <w:rPr>
          <w:rFonts w:ascii="Arial" w:hAnsi="Arial" w:eastAsia="Arial"/>
          <w:b w:val="0"/>
          <w:i w:val="0"/>
          <w:sz w:val="21"/>
        </w:rPr>
        <w:t>CPSD-HL-03039-MTHD, CPSD-GB-01058-MTHD, CPSD-HL-01015-MTHD: mã phương pháp do hồ sơ/yêu cầu dự án cung cấp; cần khách hàng hoặc phòng thử nghiệm cung cấp bản phương pháp kiểm soát trước khi phát hành bản chính thức.</w:t>
      </w:r>
    </w:p>
    <w:sectPr w:rsidR="00FC693F" w:rsidRPr="0006063C" w:rsidSect="00034616">
      <w:footerReference w:type="default" r:id="rId9"/>
      <w:pgSz w:w="12240" w:h="15840"/>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Bộ tài liệu test hàng Mekong — SOP kiểm soát nội bộ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b w:val="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