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LÀM VIỆC VỚI CSDLA — NHẬN ẢNH, CẬP NHẬT &amp; ĐỀ XUẤT</w:t>
      </w:r>
    </w:p>
    <w:p>
      <w:r>
        <w:rPr>
          <w:b/>
        </w:rPr>
        <w:t>Dự án A — Phân tích &amp; nhận định quy trình sơn gỗ nội thất</w:t>
      </w:r>
      <w:r>
        <w:t xml:space="preserve"> · Công ty TNHH SX-TM Hóa Keo Bình Thạnh (BT CHEM)</w:t>
      </w:r>
    </w:p>
    <w:p>
      <w:r>
        <w:rPr>
          <w:b/>
        </w:rPr>
        <w:t>Cập nhật:</w:t>
      </w:r>
      <w:r>
        <w:t xml:space="preserve"> 05/10/2026 · </w:t>
      </w:r>
      <w:r>
        <w:rPr>
          <w:b/>
        </w:rPr>
        <w:t>CSDL:</w:t>
      </w:r>
      <w:r>
        <w:t xml:space="preserve"> `CSDLA.db` (7 bảng, 842 dòng) · </w:t>
      </w:r>
      <w:r>
        <w:rPr>
          <w:b/>
        </w:rPr>
        <w:t>Bộ chuẩn:</w:t>
      </w:r>
      <w:r>
        <w:t xml:space="preserve"> 34 bước Step Finish</w:t>
      </w:r>
    </w:p>
    <w:p>
      <w:pPr>
        <w:pStyle w:val="Heading2"/>
      </w:pPr>
      <w:r>
        <w:t>1. HAI CHẾ ĐỘ NHẬN ẢNH</w:t>
      </w:r>
    </w:p>
    <w:tbl>
      <w:tblPr>
        <w:tblStyle w:val="TableGrid"/>
        <w:tblW w:type="auto" w:w="0"/>
        <w:tblLook w:firstColumn="1" w:firstRow="1" w:lastColumn="0" w:lastRow="0" w:noHBand="0" w:noVBand="1" w:val="04A0"/>
      </w:tblPr>
      <w:tblGrid>
        <w:gridCol w:w="3213"/>
        <w:gridCol w:w="3213"/>
        <w:gridCol w:w="3213"/>
      </w:tblGrid>
      <w:tr>
        <w:tc>
          <w:tcPr>
            <w:tcW w:type="dxa" w:w="3213"/>
          </w:tcPr>
          <w:p/>
        </w:tc>
        <w:tc>
          <w:tcPr>
            <w:tcW w:type="dxa" w:w="3213"/>
          </w:tcPr>
          <w:p>
            <w:r>
              <w:rPr>
                <w:b/>
              </w:rPr>
              <w:t>CHẾ ĐỘ A — CẬP NHẬT CSDL</w:t>
            </w:r>
          </w:p>
        </w:tc>
        <w:tc>
          <w:tcPr>
            <w:tcW w:type="dxa" w:w="3213"/>
          </w:tcPr>
          <w:p>
            <w:r>
              <w:rPr>
                <w:b/>
              </w:rPr>
              <w:t>CHẾ ĐỘ B — ĐỀ XUẤT QUY TRÌNH</w:t>
            </w:r>
          </w:p>
        </w:tc>
      </w:tr>
      <w:tr>
        <w:tc>
          <w:tcPr>
            <w:tcW w:type="dxa" w:w="3213"/>
          </w:tcPr>
          <w:p>
            <w:r>
              <w:t>Khi nào dùng</w:t>
            </w:r>
          </w:p>
        </w:tc>
        <w:tc>
          <w:tcPr>
            <w:tcW w:type="dxa" w:w="3213"/>
          </w:tcPr>
          <w:p>
            <w:r>
              <w:t xml:space="preserve">Chủ dự án gửi </w:t>
            </w:r>
            <w:r>
              <w:rPr>
                <w:b/>
              </w:rPr>
              <w:t>phiếu làm mẫu / phiếu quy trình / bảng công thức / thẻ màu</w:t>
            </w:r>
            <w:r>
              <w:t xml:space="preserve"> của các mẫu đã làm</w:t>
            </w:r>
          </w:p>
        </w:tc>
        <w:tc>
          <w:tcPr>
            <w:tcW w:type="dxa" w:w="3213"/>
          </w:tcPr>
          <w:p>
            <w:r>
              <w:t xml:space="preserve">Chủ dự án gửi </w:t>
            </w:r>
            <w:r>
              <w:rPr>
                <w:b/>
              </w:rPr>
              <w:t>ảnh mẫu màu cần đạt + ảnh phôi gỗ</w:t>
            </w:r>
            <w:r>
              <w:t xml:space="preserve"> của một đơn hàng mới</w:t>
            </w:r>
          </w:p>
        </w:tc>
      </w:tr>
      <w:tr>
        <w:tc>
          <w:tcPr>
            <w:tcW w:type="dxa" w:w="3213"/>
          </w:tcPr>
          <w:p>
            <w:r>
              <w:t>Thư mục nhận ảnh</w:t>
            </w:r>
          </w:p>
        </w:tc>
        <w:tc>
          <w:tcPr>
            <w:tcW w:type="dxa" w:w="3213"/>
          </w:tcPr>
          <w:p>
            <w:r>
              <w:t>`anh_cap_nhat\`</w:t>
            </w:r>
          </w:p>
        </w:tc>
        <w:tc>
          <w:tcPr>
            <w:tcW w:type="dxa" w:w="3213"/>
          </w:tcPr>
          <w:p>
            <w:r>
              <w:t>`anh_mau_moi\`</w:t>
            </w:r>
          </w:p>
        </w:tc>
      </w:tr>
      <w:tr>
        <w:tc>
          <w:tcPr>
            <w:tcW w:type="dxa" w:w="3213"/>
          </w:tcPr>
          <w:p>
            <w:r>
              <w:t>Bản yêu cầu giao cho AGY</w:t>
            </w:r>
          </w:p>
        </w:tc>
        <w:tc>
          <w:tcPr>
            <w:tcW w:type="dxa" w:w="3213"/>
          </w:tcPr>
          <w:p>
            <w:r>
              <w:t>`YEU_CAU_cap_nhat_csdl.txt`</w:t>
            </w:r>
          </w:p>
        </w:tc>
        <w:tc>
          <w:tcPr>
            <w:tcW w:type="dxa" w:w="3213"/>
          </w:tcPr>
          <w:p>
            <w:r>
              <w:t>`YEU_CAU_de_xuat_quy_trinh.txt`</w:t>
            </w:r>
          </w:p>
        </w:tc>
      </w:tr>
      <w:tr>
        <w:tc>
          <w:tcPr>
            <w:tcW w:type="dxa" w:w="3213"/>
          </w:tcPr>
          <w:p>
            <w:r>
              <w:t>Quyền với CSDLA</w:t>
            </w:r>
          </w:p>
        </w:tc>
        <w:tc>
          <w:tcPr>
            <w:tcW w:type="dxa" w:w="3213"/>
          </w:tcPr>
          <w:p>
            <w:r>
              <w:rPr>
                <w:b/>
              </w:rPr>
              <w:t>GHI</w:t>
            </w:r>
            <w:r>
              <w:t xml:space="preserve"> (thêm quy trình + bước + mã màu; </w:t>
            </w:r>
            <w:r>
              <w:rPr>
                <w:b/>
              </w:rPr>
              <w:t>backup trước khi ghi</w:t>
            </w:r>
            <w:r>
              <w:t>)</w:t>
            </w:r>
          </w:p>
        </w:tc>
        <w:tc>
          <w:tcPr>
            <w:tcW w:type="dxa" w:w="3213"/>
          </w:tcPr>
          <w:p>
            <w:r>
              <w:rPr>
                <w:b/>
              </w:rPr>
              <w:t>CHỈ ĐỌC</w:t>
            </w:r>
          </w:p>
        </w:tc>
      </w:tr>
      <w:tr>
        <w:tc>
          <w:tcPr>
            <w:tcW w:type="dxa" w:w="3213"/>
          </w:tcPr>
          <w:p>
            <w:r>
              <w:t>Kết quả</w:t>
            </w:r>
          </w:p>
        </w:tc>
        <w:tc>
          <w:tcPr>
            <w:tcW w:type="dxa" w:w="3213"/>
          </w:tcPr>
          <w:p>
            <w:r>
              <w:t>`CAP_NHAT_CSDLA_&lt;ngày&gt;.md` + CSDLA dày thêm + báo số dòng trước/sau</w:t>
            </w:r>
          </w:p>
        </w:tc>
        <w:tc>
          <w:tcPr>
            <w:tcW w:type="dxa" w:w="3213"/>
          </w:tcPr>
          <w:p>
            <w:r>
              <w:t xml:space="preserve">`DE_XUAT_GON_&lt;gỗ&gt;_&lt;ngày&gt;.md` + DOCX: </w:t>
            </w:r>
            <w:r>
              <w:rPr>
                <w:b/>
              </w:rPr>
              <w:t>1 bảng quy trình ngắn gọn, KHÔNG ghi tên thương mại/mã sản phẩm sơn</w:t>
            </w:r>
          </w:p>
        </w:tc>
      </w:tr>
      <w:tr>
        <w:tc>
          <w:tcPr>
            <w:tcW w:type="dxa" w:w="3213"/>
          </w:tcPr>
          <w:p>
            <w:r>
              <w:t>Lệnh chạy</w:t>
            </w:r>
          </w:p>
        </w:tc>
        <w:tc>
          <w:tcPr>
            <w:tcW w:type="dxa" w:w="3213"/>
          </w:tcPr>
          <w:p>
            <w:r>
              <w:t>`python _run_agy_theo_lo.py cap_nhat`</w:t>
            </w:r>
          </w:p>
        </w:tc>
        <w:tc>
          <w:tcPr>
            <w:tcW w:type="dxa" w:w="3213"/>
          </w:tcPr>
          <w:p>
            <w:r>
              <w:t>`python _run_agy_theo_lo.py de_xuat`</w:t>
            </w:r>
          </w:p>
        </w:tc>
      </w:tr>
    </w:tbl>
    <w:p>
      <w:r>
        <w:t>*(Không gõ lệnh cũng được: `python _run_agy_theo_lo.py` sẽ tự nhận — có ảnh trong `anh_cap_nhat` thì chạy chế độ A, có ảnh trong `anh_mau_moi` thì chạy chế độ B.)*</w:t>
      </w:r>
    </w:p>
    <w:p>
      <w:pPr>
        <w:pStyle w:val="Heading2"/>
      </w:pPr>
      <w:r>
        <w:t>2. VIỆC HỆ THỐNG TỰ LÀM MỖI LẦN CÓ ẢNH MỚI (5 bước)</w:t>
      </w:r>
    </w:p>
    <w:p>
      <w:pPr>
        <w:pStyle w:val="ListNumber"/>
      </w:pPr>
      <w:r>
        <w:rPr>
          <w:b/>
        </w:rPr>
        <w:t>Nhặt ảnh mới</w:t>
      </w:r>
      <w:r>
        <w:t xml:space="preserve">: chỉ lấy ảnh </w:t>
      </w:r>
      <w:r>
        <w:rPr>
          <w:b/>
        </w:rPr>
        <w:t>mới hơn lần chạy trước</w:t>
      </w:r>
      <w:r>
        <w:t xml:space="preserve"> trong kho ảnh Telegram, khử trùng theo md5  copy vào thư mục nhận, đặt tên thứ tự (`capnhat_01…` / `mau_moi_01…`).</w:t>
      </w:r>
    </w:p>
    <w:p>
      <w:pPr>
        <w:pStyle w:val="ListNumber"/>
      </w:pPr>
      <w:r>
        <w:rPr>
          <w:b/>
        </w:rPr>
        <w:t>Dọn lô cũ</w:t>
      </w:r>
      <w:r>
        <w:t>: ảnh của lô trước (đã xử lý) tự chuyển sang `da_xu_ly\`  thư mục nhận luôn chỉ chứa lô mới, không xử lý lại ảnh cũ.</w:t>
      </w:r>
    </w:p>
    <w:p>
      <w:pPr>
        <w:pStyle w:val="ListNumber"/>
      </w:pPr>
      <w:r>
        <w:rPr>
          <w:b/>
        </w:rPr>
        <w:t>Giao AGY</w:t>
      </w:r>
      <w:r>
        <w:t xml:space="preserve"> (đúng dự án A, model đọc ảnh): phân loại ảnh  trích </w:t>
      </w:r>
      <w:r>
        <w:rPr>
          <w:b/>
        </w:rPr>
        <w:t>nguyên văn</w:t>
      </w:r>
      <w:r>
        <w:t xml:space="preserve"> màu sắc · công thức/tỉ lệ pha · từng bước  </w:t>
      </w:r>
      <w:r>
        <w:rPr>
          <w:b/>
        </w:rPr>
        <w:t>áp vào đúng số + tên chuẩn trong bộ 34 bước</w:t>
      </w:r>
      <w:r>
        <w:t xml:space="preserve">  với chế độ A thì </w:t>
      </w:r>
      <w:r>
        <w:rPr>
          <w:b/>
        </w:rPr>
        <w:t>backup CSDLA rồi ghi</w:t>
      </w:r>
      <w:r>
        <w:t>; với chế độ B thì truy vấn CSDLA để tìm quy trình gần nhất rồi lập quy trình đề xuất.</w:t>
      </w:r>
    </w:p>
    <w:p>
      <w:pPr>
        <w:pStyle w:val="ListNumber"/>
      </w:pPr>
      <w:r>
        <w:rPr>
          <w:b/>
        </w:rPr>
        <w:t>Kiểm chứng độc lập</w:t>
      </w:r>
      <w:r>
        <w:t xml:space="preserve">: đối chiếu số liệu agy trích với CSDLA và với ảnh; kiểm số dòng các bảng trước/sau; xác nhận </w:t>
      </w:r>
      <w:r>
        <w:rPr>
          <w:b/>
        </w:rPr>
        <w:t>không có dòng cũ nào bị sửa/xoá</w:t>
      </w:r>
      <w:r>
        <w:t xml:space="preserve">; kiểm </w:t>
      </w:r>
      <w:r>
        <w:rPr>
          <w:b/>
        </w:rPr>
        <w:t>không lọt tên riêng</w:t>
      </w:r>
      <w:r>
        <w:t xml:space="preserve"> khách hàng/kỹ thuật viên.</w:t>
      </w:r>
    </w:p>
    <w:p>
      <w:pPr>
        <w:pStyle w:val="ListNumber"/>
      </w:pPr>
      <w:r>
        <w:rPr>
          <w:b/>
        </w:rPr>
        <w:t>Xuất &amp; gửi</w:t>
      </w:r>
      <w:r>
        <w:t xml:space="preserve">: `CAP_NHAT_CSDLA_&lt;ngày&gt;.md` hoặc `DE_XUAT_QUY_TRINH_&lt;ngày&gt;.md`  </w:t>
      </w:r>
      <w:r>
        <w:rPr>
          <w:b/>
        </w:rPr>
        <w:t>DOCX trắng đen</w:t>
      </w:r>
      <w:r>
        <w:t xml:space="preserve"> gửi Telegram + ghi `NHAT_KY_du-an-A.md`.</w:t>
      </w:r>
    </w:p>
    <w:p>
      <w:pPr>
        <w:pStyle w:val="Heading2"/>
      </w:pPr>
      <w:r>
        <w:t>3. ĐỂ AGY ĐỌC ĐƯỢC NHIỀU NHẤT, ẢNH NÊN CÓ</w:t>
      </w:r>
    </w:p>
    <w:p>
      <w:pPr>
        <w:pStyle w:val="ListBullet"/>
      </w:pPr>
      <w:r>
        <w:rPr>
          <w:b/>
        </w:rPr>
        <w:t>Phiếu làm mẫu / phiếu quy trình</w:t>
      </w:r>
      <w:r>
        <w:t xml:space="preserve">: chụp </w:t>
      </w:r>
      <w:r>
        <w:rPr>
          <w:b/>
        </w:rPr>
        <w:t>thẳng, đủ 4 góc phiếu, đủ chữ</w:t>
      </w:r>
      <w:r>
        <w:t xml:space="preserve"> (nếu phiếu 2 mặt hoặc 2 trang  chụp/gửi </w:t>
      </w:r>
      <w:r>
        <w:rPr>
          <w:b/>
        </w:rPr>
        <w:t>cả 2</w:t>
      </w:r>
      <w:r>
        <w:t xml:space="preserve">); chụp </w:t>
      </w:r>
      <w:r>
        <w:rPr>
          <w:b/>
        </w:rPr>
        <w:t>cả tấm mẫu gỗ thành phẩm</w:t>
      </w:r>
      <w:r>
        <w:t xml:space="preserve"> cạnh phiếu như đang làm.</w:t>
      </w:r>
    </w:p>
    <w:p>
      <w:pPr>
        <w:pStyle w:val="ListBullet"/>
      </w:pPr>
      <w:r>
        <w:rPr>
          <w:b/>
        </w:rPr>
        <w:t>Bảng công thức pha màu</w:t>
      </w:r>
      <w:r>
        <w:t xml:space="preserve">: chụp rõ phần ghi </w:t>
      </w:r>
      <w:r>
        <w:rPr>
          <w:b/>
        </w:rPr>
        <w:t>mã nguyên liệu + khối lượng</w:t>
      </w:r>
      <w:r>
        <w:t xml:space="preserve"> và </w:t>
      </w:r>
      <w:r>
        <w:rPr>
          <w:b/>
        </w:rPr>
        <w:t>thẻ bước mẫu phân bậc</w:t>
      </w:r>
      <w:r>
        <w:t xml:space="preserve"> (nếu có).</w:t>
      </w:r>
    </w:p>
    <w:p>
      <w:pPr>
        <w:pStyle w:val="ListBullet"/>
      </w:pPr>
      <w:r>
        <w:rPr>
          <w:b/>
        </w:rPr>
        <w:t>Mẫu màu cần đạt</w:t>
      </w:r>
      <w:r>
        <w:t xml:space="preserve">: chụp </w:t>
      </w:r>
      <w:r>
        <w:rPr>
          <w:b/>
        </w:rPr>
        <w:t>cận bề mặt</w:t>
      </w:r>
      <w:r>
        <w:t xml:space="preserve">, ánh sáng ban ngày hoặc đèn trung tính, </w:t>
      </w:r>
      <w:r>
        <w:rPr>
          <w:b/>
        </w:rPr>
        <w:t>không dùng đèn vàng</w:t>
      </w:r>
      <w:r>
        <w:t>, không bóng loá — để đọc đúng tông màu và độ bóng.</w:t>
      </w:r>
    </w:p>
    <w:p>
      <w:pPr>
        <w:pStyle w:val="ListBullet"/>
      </w:pPr>
      <w:r>
        <w:rPr>
          <w:b/>
        </w:rPr>
        <w:t>Phôi gỗ nền</w:t>
      </w:r>
      <w:r>
        <w:t xml:space="preserve">: chụp </w:t>
      </w:r>
      <w:r>
        <w:rPr>
          <w:b/>
        </w:rPr>
        <w:t>mặt mộc chưa sơn</w:t>
      </w:r>
      <w:r>
        <w:t xml:space="preserve"> (thấy rõ vân, mạch gỗ, màu mộc, vết keo/lỗi mộc) và nếu biết thì nói thêm </w:t>
      </w:r>
      <w:r>
        <w:rPr>
          <w:b/>
        </w:rPr>
        <w:t>tên gỗ</w:t>
      </w:r>
      <w:r>
        <w:t xml:space="preserve"> (sồi, tràm, thông, cao su, veneer…).</w:t>
      </w:r>
    </w:p>
    <w:p>
      <w:pPr>
        <w:pStyle w:val="ListBullet"/>
      </w:pPr>
      <w:r>
        <w:rPr>
          <w:b/>
        </w:rPr>
        <w:t>Ghi kèm 1 dòng nếu có</w:t>
      </w:r>
      <w:r>
        <w:t>: mã mẫu/mã màu, loại gỗ, hệ sơn mong muốn (NC / PU / nước / UV / dầu), độ bóng (5 % · 10 % · 15 %…), sản phẩm (bàn, tủ, giường…).</w:t>
      </w:r>
    </w:p>
    <w:p>
      <w:pPr>
        <w:pStyle w:val="Heading2"/>
      </w:pPr>
      <w:r>
        <w:t>4. NGUYÊN TẮC DỮ LIỆU (áp dụng mọi lần)</w:t>
      </w:r>
    </w:p>
    <w:p>
      <w:pPr>
        <w:pStyle w:val="ListNumber"/>
      </w:pPr>
      <w:r>
        <w:rPr>
          <w:b/>
        </w:rPr>
        <w:t>Giữ nguyên văn</w:t>
      </w:r>
      <w:r>
        <w:t xml:space="preserve"> số liệu, mã nguyên liệu, cả lỗi chính tả của nguồn — không tự sửa.</w:t>
      </w:r>
    </w:p>
    <w:p>
      <w:pPr>
        <w:pStyle w:val="ListNumber"/>
      </w:pPr>
      <w:r>
        <w:t xml:space="preserve">Ô nào nguồn không ghi thì ghi rõ </w:t>
      </w:r>
      <w:r>
        <w:rPr>
          <w:b/>
        </w:rPr>
        <w:t>“nguồn không ghi”</w:t>
      </w:r>
      <w:r>
        <w:t xml:space="preserve">, tuyệt đối </w:t>
      </w:r>
      <w:r>
        <w:rPr>
          <w:b/>
        </w:rPr>
        <w:t>không bịa</w:t>
      </w:r>
      <w:r>
        <w:t>.</w:t>
      </w:r>
    </w:p>
    <w:p>
      <w:pPr>
        <w:pStyle w:val="ListNumber"/>
      </w:pPr>
      <w:r>
        <w:t xml:space="preserve">CSDLA chỉ </w:t>
      </w:r>
      <w:r>
        <w:rPr>
          <w:b/>
        </w:rPr>
        <w:t>ghi thêm</w:t>
      </w:r>
      <w:r>
        <w:t xml:space="preserve">, không sửa/xoá dòng cũ; </w:t>
      </w:r>
      <w:r>
        <w:rPr>
          <w:b/>
        </w:rPr>
        <w:t>backup trước mỗi lần ghi</w:t>
      </w:r>
      <w:r>
        <w:t>.</w:t>
      </w:r>
    </w:p>
    <w:p>
      <w:pPr>
        <w:pStyle w:val="ListNumber"/>
      </w:pPr>
      <w:r>
        <w:rPr>
          <w:b/>
        </w:rPr>
        <w:t>Không lưu tên riêng</w:t>
      </w:r>
      <w:r>
        <w:t xml:space="preserve"> khách hàng/kỹ thuật viên trong CSDLA.</w:t>
      </w:r>
    </w:p>
    <w:p>
      <w:pPr>
        <w:pStyle w:val="ListNumber"/>
      </w:pPr>
      <w:r>
        <w:t xml:space="preserve">Mọi con số trích ra đều phải </w:t>
      </w:r>
      <w:r>
        <w:rPr>
          <w:b/>
        </w:rPr>
        <w:t>kiểm chứng được</w:t>
      </w:r>
      <w:r>
        <w:t xml:space="preserve"> với CSDL hoặc ảnh gốc.</w:t>
      </w:r>
    </w:p>
    <w:p>
      <w:pPr>
        <w:pStyle w:val="Heading2"/>
      </w:pPr>
      <w:r>
        <w:t>5. VỊ TRÍ CÁC THƯ MỤC &amp; FILE (thư mục dự án)</w:t>
      </w:r>
    </w:p>
    <w:tbl>
      <w:tblPr>
        <w:tblStyle w:val="TableGrid"/>
        <w:tblW w:type="auto" w:w="0"/>
        <w:tblLook w:firstColumn="1" w:firstRow="1" w:lastColumn="0" w:lastRow="0" w:noHBand="0" w:noVBand="1" w:val="04A0"/>
      </w:tblPr>
      <w:tblGrid>
        <w:gridCol w:w="4819"/>
        <w:gridCol w:w="4819"/>
      </w:tblGrid>
      <w:tr>
        <w:tc>
          <w:tcPr>
            <w:tcW w:type="dxa" w:w="4819"/>
          </w:tcPr>
          <w:p>
            <w:r>
              <w:rPr>
                <w:b/>
              </w:rPr>
              <w:t>Đường dẫn</w:t>
            </w:r>
          </w:p>
        </w:tc>
        <w:tc>
          <w:tcPr>
            <w:tcW w:type="dxa" w:w="4819"/>
          </w:tcPr>
          <w:p>
            <w:r>
              <w:rPr>
                <w:b/>
              </w:rPr>
              <w:t>Dùng để</w:t>
            </w:r>
          </w:p>
        </w:tc>
      </w:tr>
      <w:tr>
        <w:tc>
          <w:tcPr>
            <w:tcW w:type="dxa" w:w="4819"/>
          </w:tcPr>
          <w:p>
            <w:r>
              <w:t>`CSDLA.db`</w:t>
            </w:r>
          </w:p>
        </w:tc>
        <w:tc>
          <w:tcPr>
            <w:tcW w:type="dxa" w:w="4819"/>
          </w:tcPr>
          <w:p>
            <w:r>
              <w:t>Cơ sở dữ liệu quy trình sơn (bản chính)</w:t>
            </w:r>
          </w:p>
        </w:tc>
      </w:tr>
      <w:tr>
        <w:tc>
          <w:tcPr>
            <w:tcW w:type="dxa" w:w="4819"/>
          </w:tcPr>
          <w:p>
            <w:r>
              <w:t>`01-Bo-dinh-nghia-34-buoc.md`</w:t>
            </w:r>
          </w:p>
        </w:tc>
        <w:tc>
          <w:tcPr>
            <w:tcW w:type="dxa" w:w="4819"/>
          </w:tcPr>
          <w:p>
            <w:r>
              <w:t>Bộ bước chuẩn 34 bước, 3 ngôn ngữ</w:t>
            </w:r>
          </w:p>
        </w:tc>
      </w:tr>
      <w:tr>
        <w:tc>
          <w:tcPr>
            <w:tcW w:type="dxa" w:w="4819"/>
          </w:tcPr>
          <w:p>
            <w:r>
              <w:t>`anh_cap_nhat\` · `anh_mau_moi\`</w:t>
            </w:r>
          </w:p>
        </w:tc>
        <w:tc>
          <w:tcPr>
            <w:tcW w:type="dxa" w:w="4819"/>
          </w:tcPr>
          <w:p>
            <w:r>
              <w:t>Thư mục nhận ảnh của 2 chế độ</w:t>
            </w:r>
          </w:p>
        </w:tc>
      </w:tr>
      <w:tr>
        <w:tc>
          <w:tcPr>
            <w:tcW w:type="dxa" w:w="4819"/>
          </w:tcPr>
          <w:p>
            <w:r>
              <w:t>`da_xu_ly\`</w:t>
            </w:r>
          </w:p>
        </w:tc>
        <w:tc>
          <w:tcPr>
            <w:tcW w:type="dxa" w:w="4819"/>
          </w:tcPr>
          <w:p>
            <w:r>
              <w:t>Ảnh của các lô đã xử lý (lưu vết)</w:t>
            </w:r>
          </w:p>
        </w:tc>
      </w:tr>
      <w:tr>
        <w:tc>
          <w:tcPr>
            <w:tcW w:type="dxa" w:w="4819"/>
          </w:tcPr>
          <w:p>
            <w:r>
              <w:t>`YEU_CAU_cap_nhat_csdl.txt` · `YEU_CAU_de_xuat_quy_trinh.txt`</w:t>
            </w:r>
          </w:p>
        </w:tc>
        <w:tc>
          <w:tcPr>
            <w:tcW w:type="dxa" w:w="4819"/>
          </w:tcPr>
          <w:p>
            <w:r>
              <w:t>Bản yêu cầu giao AGY</w:t>
            </w:r>
          </w:p>
        </w:tc>
      </w:tr>
      <w:tr>
        <w:tc>
          <w:tcPr>
            <w:tcW w:type="dxa" w:w="4819"/>
          </w:tcPr>
          <w:p>
            <w:r>
              <w:t>`_run_agy_theo_lo.py`</w:t>
            </w:r>
          </w:p>
        </w:tc>
        <w:tc>
          <w:tcPr>
            <w:tcW w:type="dxa" w:w="4819"/>
          </w:tcPr>
          <w:p>
            <w:r>
              <w:t>Chạy agy theo chế độ (tự nhặt ảnh, tự dọn lô cũ)</w:t>
            </w:r>
          </w:p>
        </w:tc>
      </w:tr>
      <w:tr>
        <w:tc>
          <w:tcPr>
            <w:tcW w:type="dxa" w:w="4819"/>
          </w:tcPr>
          <w:p>
            <w:r>
              <w:t>`NHAT_KY_du-an-A.md`</w:t>
            </w:r>
          </w:p>
        </w:tc>
        <w:tc>
          <w:tcPr>
            <w:tcW w:type="dxa" w:w="4819"/>
          </w:tcPr>
          <w:p>
            <w:r>
              <w:t>Nhật ký dự án (mỗi lô 1 mục)</w:t>
            </w:r>
          </w:p>
        </w:tc>
      </w:tr>
      <w:tr>
        <w:tc>
          <w:tcPr>
            <w:tcW w:type="dxa" w:w="4819"/>
          </w:tcPr>
          <w:p>
            <w:r>
              <w:t>`_backup_CSDLA_*.db`</w:t>
            </w:r>
          </w:p>
        </w:tc>
        <w:tc>
          <w:tcPr>
            <w:tcW w:type="dxa" w:w="4819"/>
          </w:tcPr>
          <w:p>
            <w:r>
              <w:t>Các bản backup trước mỗi lần ghi CSDL</w:t>
            </w:r>
          </w:p>
        </w:tc>
      </w:tr>
    </w:tbl>
    <w:p>
      <w:pPr>
        <w:pStyle w:val="Heading2"/>
      </w:pPr>
      <w:r>
        <w:t>6. KỸ THUẬT TẠO HIỆU ỨNG TỐI / GIẢ CỔ — QUY TẮC ĐÃ CHỐT (chủ dự án, 05/10/2026)</w:t>
      </w:r>
    </w:p>
    <w:p>
      <w:r>
        <w:rPr>
          <w:b/>
          <w:i/>
        </w:rPr>
        <w:t>Với hiệu ứng 2 tông màu (nền tối + lộ nâu ấm ở gờ vân), ưu tiên tuyệt đối tuyến “LÓT MÀU + CHÀ LIGHT/CHÀ MÒN” — KHÔNG dùng lau glaze làm tuyến chính.</w:t>
      </w:r>
    </w:p>
    <w:p>
      <w:pPr>
        <w:pStyle w:val="ListBullet"/>
      </w:pPr>
      <w:r>
        <w:rPr>
          <w:b/>
        </w:rPr>
        <w:t>Lý do (có bằng chứng trong CSDLA):</w:t>
      </w:r>
      <w:r>
        <w:t xml:space="preserve"> glaze bám dính cơ học tạm thời, màng bán khô yếu ⇒ tróc khi cắt ca-rô giật băng keo — </w:t>
      </w:r>
      <w:r>
        <w:rPr>
          <w:b/>
        </w:rPr>
        <w:t>ID 44 (glaze đen BT 2203: tróc 12/12 vị trí</w:t>
      </w:r>
      <w:r>
        <w:t xml:space="preserve"> trên cả gỗ thông và cao su), </w:t>
      </w:r>
      <w:r>
        <w:rPr>
          <w:b/>
        </w:rPr>
        <w:t>ID 70–71 (DL 16/19: cả 4 phương án công thức glaze tróc không đạt)</w:t>
      </w:r>
      <w:r>
        <w:t xml:space="preserve">, </w:t>
      </w:r>
      <w:r>
        <w:rPr>
          <w:b/>
        </w:rPr>
        <w:t>ID 98 (KPH #422: glaze đọng khe cước + màng 75 µm ⇒ không khô chân cước)</w:t>
      </w:r>
      <w:r>
        <w:t>.</w:t>
      </w:r>
    </w:p>
    <w:p>
      <w:pPr>
        <w:pStyle w:val="ListBullet"/>
      </w:pPr>
      <w:r>
        <w:rPr>
          <w:b/>
        </w:rPr>
        <w:t>Tuyến thay thế (đã chứng minh đạt bám):</w:t>
      </w:r>
      <w:r>
        <w:t xml:space="preserve"> </w:t>
      </w:r>
      <w:r>
        <w:rPr>
          <w:b/>
        </w:rPr>
        <w:t>sơn lót PHA MÀU (lót màu)</w:t>
      </w:r>
      <w:r>
        <w:t xml:space="preserve"> cùng hệ nhựa với lớp sau  màng liền khối; tạo hiệu ứng bằng </w:t>
      </w:r>
      <w:r>
        <w:rPr>
          <w:b/>
        </w:rPr>
        <w:t>chà light/chà mòn trên đỉnh gờ</w:t>
      </w:r>
      <w:r>
        <w:t xml:space="preserve"> để lộ lớp stain ấm bên dưới — </w:t>
      </w:r>
      <w:r>
        <w:rPr>
          <w:b/>
        </w:rPr>
        <w:t>ID 5 · ID 8 · ID 31–32 đạt 4B/5B</w:t>
      </w:r>
      <w:r>
        <w:t>.</w:t>
      </w:r>
    </w:p>
    <w:p>
      <w:pPr>
        <w:pStyle w:val="ListBullet"/>
      </w:pPr>
      <w:r>
        <w:rPr>
          <w:b/>
        </w:rPr>
        <w:t>Điều kiện bắt buộc mọi đề xuất:</w:t>
      </w:r>
      <w:r>
        <w:t xml:space="preserve"> </w:t>
      </w:r>
      <w:r>
        <w:rPr>
          <w:b/>
        </w:rPr>
        <w:t>test cắt ca-rô + giật băng keo (ASTM D3359) trên thẻ mẫu, khô ≥ 20–24 giờ, chỉ chạy chuyền khi đạt 4B–5B</w:t>
      </w:r>
      <w:r>
        <w:t xml:space="preserve">; phun </w:t>
      </w:r>
      <w:r>
        <w:rPr>
          <w:b/>
        </w:rPr>
        <w:t>2 passes, màng ướt 100–125 µm</w:t>
      </w:r>
      <w:r>
        <w:t xml:space="preserve">; hỗn hợp lót màu NC dùng hết trong </w:t>
      </w:r>
      <w:r>
        <w:rPr>
          <w:b/>
        </w:rPr>
        <w:t>2–3 giờ</w:t>
      </w:r>
      <w:r>
        <w:t>.</w:t>
      </w:r>
    </w:p>
    <w:p>
      <w:pPr>
        <w:pStyle w:val="ListBullet"/>
      </w:pPr>
      <w:r>
        <w:rPr>
          <w:b/>
        </w:rPr>
        <w:t>Glaze chỉ dùng có điều kiện:</w:t>
      </w:r>
      <w:r>
        <w:t xml:space="preserve"> khi rãnh cước quá sâu (&gt; 0,8 mm) súng phun lót màu không tới đáy — khi đó phải lau sạch mặt phẳng, khô 45–60 phút, phủ lớp khoá </w:t>
      </w:r>
      <w:r>
        <w:rPr>
          <w:b/>
        </w:rPr>
        <w:t>≥ 100–120 µm</w:t>
      </w:r>
      <w:r>
        <w:t xml:space="preserve"> và vẫn phải test ca-rô đạt.</w:t>
      </w:r>
    </w:p>
    <w:p>
      <w:pPr>
        <w:pStyle w:val="ListBullet"/>
      </w:pPr>
      <w:r>
        <w:rPr>
          <w:b/>
        </w:rPr>
        <w:t>Hệ sơn:</w:t>
      </w:r>
      <w:r>
        <w:t xml:space="preserve"> NC (stain NC · lót màu NC · lót NC trong · bóng NC NY) — </w:t>
      </w:r>
      <w:r>
        <w:rPr>
          <w:b/>
        </w:rPr>
        <w:t>không dùng 2K</w:t>
      </w:r>
      <w:r>
        <w:t xml:space="preserve"> trừ khi chủ dự án yêu cầu.</w:t>
      </w:r>
    </w:p>
    <w:p>
      <w:pPr>
        <w:pStyle w:val="Heading2"/>
      </w:pPr>
      <w:r>
        <w:t>7. QUY TẮC TRÌNH BÀY BẢN ĐỀ XUẤT — CHỐT 06/10/2026 (theo yêu cầu trực tiếp của chủ dự án)</w:t>
      </w:r>
    </w:p>
    <w:p>
      <w:pPr>
        <w:pStyle w:val="Heading3"/>
      </w:pPr>
      <w:r>
        <w:t>7.0  QUY TRÌNH LÀM VIỆC 2 BƯỚC VỚI AGY — BẮT BUỘC (chốt 06/10/2026)</w:t>
      </w:r>
    </w:p>
    <w:p>
      <w:r>
        <w:rPr>
          <w:i/>
        </w:rPr>
        <w:t>*“phải luôn kết hợp với agy khi thực hiện công việc… Đầu tiên là prompt như đã được huấn luyện cho agy phân tích hình ảnh. Sau đó lấy những phân tích của agy áp dụng vào các kiến thức đã được huấn luyện trong cơ sở dữ liệu để đưa ra quy trình đề nghị chuẩn.”*</w:t>
      </w:r>
    </w:p>
    <w:p>
      <w:pPr>
        <w:pStyle w:val="ListNumber"/>
      </w:pPr>
      <w:r>
        <w:rPr>
          <w:b/>
        </w:rPr>
        <w:t>BƯỚC 1 — AGY PHÂN TÍCH ẢNH:</w:t>
      </w:r>
      <w:r>
        <w:t xml:space="preserve"> prompt huấn luyện </w:t>
      </w:r>
      <w:r>
        <w:rPr>
          <w:b/>
        </w:rPr>
        <w:t>`YEU_CAU_BUOC1_phan_tich.txt`</w:t>
      </w:r>
      <w:r>
        <w:t xml:space="preserve">  đọc ảnh `mau_*`, `moc_*` (nếu có), </w:t>
      </w:r>
      <w:r>
        <w:rPr>
          <w:b/>
        </w:rPr>
        <w:t>tất cả ô `zoom_*`</w:t>
      </w:r>
      <w:r>
        <w:t xml:space="preserve">, số đo `_zoom_do_mau.txt`  xuất </w:t>
      </w:r>
      <w:r>
        <w:rPr>
          <w:b/>
        </w:rPr>
        <w:t>`PHAN_TICH_&lt;mẫu&gt;_&lt;ngày&gt;.md`</w:t>
      </w:r>
      <w:r>
        <w:t>.</w:t>
      </w:r>
    </w:p>
    <w:p>
      <w:pPr>
        <w:pStyle w:val="ListNumber"/>
      </w:pPr>
      <w:r>
        <w:rPr>
          <w:b/>
        </w:rPr>
        <w:t>BƯỚC 2 — ÁP KIẾN THỨC CSDLA:</w:t>
      </w:r>
      <w:r>
        <w:t xml:space="preserve"> prompt </w:t>
      </w:r>
      <w:r>
        <w:rPr>
          <w:b/>
        </w:rPr>
        <w:t>`YEU_CAU_BUOC2_ap_csdl.txt`</w:t>
      </w:r>
      <w:r>
        <w:t xml:space="preserve">  nạp file phân tích + </w:t>
      </w:r>
      <w:r>
        <w:rPr>
          <w:b/>
        </w:rPr>
        <w:t>`CSDLA_KIEN_THUC_HUAN_LUYEN.md`</w:t>
      </w:r>
      <w:r>
        <w:t xml:space="preserve"> (bảng `huan_luyen` + quy trình chuẩn </w:t>
      </w:r>
      <w:r>
        <w:rPr>
          <w:b/>
        </w:rPr>
        <w:t>id 116</w:t>
      </w:r>
      <w:r>
        <w:t xml:space="preserve"> + bộ 34 bước + QT_ công ty)  xuất </w:t>
      </w:r>
      <w:r>
        <w:rPr>
          <w:b/>
        </w:rPr>
        <w:t>`QUY_TRINH_DE_XUAT_&lt;mẫu&gt;_&lt;ngày&gt;.md`</w:t>
      </w:r>
      <w:r>
        <w:t xml:space="preserve"> (PA 1 = kỹ thuật chuẩn, PA 2 = thay thế).</w:t>
      </w:r>
    </w:p>
    <w:p>
      <w:pPr>
        <w:pStyle w:val="ListNumber"/>
      </w:pPr>
      <w:r>
        <w:rPr>
          <w:b/>
        </w:rPr>
        <w:t>Thực thi:</w:t>
      </w:r>
      <w:r>
        <w:t xml:space="preserve"> chạy `snapshot_kien_thuc_CSDLA.py` (cập nhật gói kiến thức) rồi `_pipeline_agy_2_buoc.py &lt;TÊN-MẪU&gt;` — </w:t>
      </w:r>
      <w:r>
        <w:rPr>
          <w:b/>
        </w:rPr>
        <w:t>2 lượt agy liên tiếp, không bỏ bước, không tự làm tắt.</w:t>
      </w:r>
    </w:p>
    <w:p>
      <w:r>
        <w:rPr>
          <w:b/>
          <w:i/>
        </w:rPr>
        <w:t>Tài liệu gửi đi CHỈ gồm các QUY TRÌNH SƠN ĐỀ XUẤT — ngắn gọn, 2 phương án, kèm ảnh mẫu (và ảnh gỗ mộc nếu có).</w:t>
      </w:r>
    </w:p>
    <w:p>
      <w:pPr>
        <w:pStyle w:val="ListNumber"/>
      </w:pPr>
      <w:r>
        <w:rPr>
          <w:b/>
        </w:rPr>
        <w:t xml:space="preserve"> PHẠM VI TÀI LIỆU (chốt 06/10/2026):</w:t>
      </w:r>
      <w:r>
        <w:t xml:space="preserve"> chỉ in: (a) tiêu đề ngắn; (b) ảnh mẫu màu + ảnh gỗ mộc nếu có (thiếu thì 1 dòng *“THIẾU ẢNH GỖ MỘC — đề nghị cung cấp”*); (c) </w:t>
      </w:r>
      <w:r>
        <w:rPr>
          <w:b/>
        </w:rPr>
        <w:t>2 bảng quy trình ≤ 8 dòng</w:t>
      </w:r>
      <w:r>
        <w:t xml:space="preserve">; (d) </w:t>
      </w:r>
      <w:r>
        <w:rPr>
          <w:b/>
        </w:rPr>
        <w:t>3–5 dòng lưu ý bắt buộc</w:t>
      </w:r>
      <w:r>
        <w:t xml:space="preserve">. </w:t>
      </w:r>
      <w:r>
        <w:rPr>
          <w:b/>
        </w:rPr>
        <w:t>KHÔNG in</w:t>
      </w:r>
      <w:r>
        <w:t xml:space="preserve">: dữ liệu phân tích màu/zoom/L\*a\*b\*, nhận diện loài gỗ, mảng–khối màu, mục căn cứ &amp; truy vết (mã sản phẩm, ID CSDLA, trích dẫn quy trình chuẩn), </w:t>
      </w:r>
      <w:r>
        <w:rPr>
          <w:b/>
        </w:rPr>
        <w:t>và TUYỆT ĐỐI KHÔNG nhắc KPH/sự cố</w:t>
      </w:r>
      <w:r>
        <w:t>. Phân tích vẫn làm nội bộ để chọn kỹ thuật, chỉ in khi chủ dự án yêu cầu.</w:t>
      </w:r>
    </w:p>
    <w:p>
      <w:r>
        <w:rPr>
          <w:b/>
          <w:i/>
        </w:rPr>
        <w:t>Mô tả NGẮN GỌN, mỗi lô đưa ra 2 quy trình, kèm ảnh gỗ mộc, và luôn kiểm tra–dặm màu sau chà nhám.</w:t>
      </w:r>
    </w:p>
    <w:p>
      <w:pPr>
        <w:pStyle w:val="ListNumber"/>
      </w:pPr>
      <w:r>
        <w:rPr>
          <w:b/>
        </w:rPr>
        <w:t>NGẮN GỌN — CHỈ MÔ TẢ QUY TRÌNH:</w:t>
      </w:r>
      <w:r>
        <w:t xml:space="preserve"> dùng </w:t>
      </w:r>
      <w:r>
        <w:rPr>
          <w:b/>
        </w:rPr>
        <w:t>bảng + gạch đầu dòng</w:t>
      </w:r>
      <w:r>
        <w:t xml:space="preserve">, </w:t>
      </w:r>
      <w:r>
        <w:rPr>
          <w:b/>
        </w:rPr>
        <w:t>mỗi bước 1 dòng</w:t>
      </w:r>
      <w:r>
        <w:t xml:space="preserve">; </w:t>
      </w:r>
      <w:r>
        <w:rPr>
          <w:b/>
        </w:rPr>
        <w:t>không viết đoạn văn dài</w:t>
      </w:r>
      <w:r>
        <w:t>; phần phân tích ≤ 8 dòng; tài liệu ≤ 1–2 trang A4.</w:t>
      </w:r>
    </w:p>
    <w:p>
      <w:pPr>
        <w:pStyle w:val="ListNumber"/>
      </w:pPr>
      <w:r>
        <w:rPr>
          <w:b/>
        </w:rPr>
        <w:t>2 QUY TRÌNH ĐỀ XUẤT mỗi lô:</w:t>
      </w:r>
      <w:r>
        <w:t xml:space="preserve"> </w:t>
      </w:r>
      <w:r>
        <w:rPr>
          <w:b/>
        </w:rPr>
        <w:t>PA 1 (khuyến nghị — bám mẫu nhất)</w:t>
      </w:r>
      <w:r>
        <w:t xml:space="preserve"> và </w:t>
      </w:r>
      <w:r>
        <w:rPr>
          <w:b/>
        </w:rPr>
        <w:t>PA 2 (thay thế — ít lớp/ít rủi ro/dễ thi công hoặc rẻ hơn, cùng tông màu)</w:t>
      </w:r>
      <w:r>
        <w:t xml:space="preserve">; mỗi PA </w:t>
      </w:r>
      <w:r>
        <w:rPr>
          <w:b/>
        </w:rPr>
        <w:t>1 bảng ≤ 8 dòng</w:t>
      </w:r>
      <w:r>
        <w:t xml:space="preserve"> + </w:t>
      </w:r>
      <w:r>
        <w:rPr>
          <w:b/>
        </w:rPr>
        <w:t>1 dòng khác biệt chính</w:t>
      </w:r>
      <w:r>
        <w:t xml:space="preserve"> + </w:t>
      </w:r>
      <w:r>
        <w:rPr>
          <w:b/>
        </w:rPr>
        <w:t>1 dòng ưu/nhược</w:t>
      </w:r>
      <w:r>
        <w:t>; ghi rõ PA khuyến nghị.</w:t>
      </w:r>
    </w:p>
    <w:p>
      <w:pPr>
        <w:pStyle w:val="ListNumber"/>
      </w:pPr>
      <w:r>
        <w:rPr>
          <w:b/>
        </w:rPr>
        <w:t>ẢNH GỖ MỘC (gỗ chưa sơn) — PHẢI CÓ:</w:t>
      </w:r>
      <w:r>
        <w:t xml:space="preserve"> tài liệu chèn </w:t>
      </w:r>
      <w:r>
        <w:rPr>
          <w:b/>
        </w:rPr>
        <w:t>cả ảnh mẫu màu và ảnh gỗ mộc</w:t>
      </w:r>
      <w:r>
        <w:t xml:space="preserve">. Quy ước tên trong `anh_mau_moi\`: </w:t>
      </w:r>
      <w:r>
        <w:rPr>
          <w:b/>
        </w:rPr>
        <w:t>`mau_*.jpg` = ảnh mẫu</w:t>
      </w:r>
      <w:r>
        <w:t xml:space="preserve">, </w:t>
      </w:r>
      <w:r>
        <w:rPr>
          <w:b/>
        </w:rPr>
        <w:t>`moc_*.jpg` = ảnh gỗ mộc</w:t>
      </w:r>
      <w:r>
        <w:t xml:space="preserve">. Nếu chủ dự án </w:t>
      </w:r>
      <w:r>
        <w:rPr>
          <w:b/>
        </w:rPr>
        <w:t>chưa gửi ảnh mộc</w:t>
      </w:r>
      <w:r>
        <w:t xml:space="preserve">  in </w:t>
      </w:r>
      <w:r>
        <w:rPr>
          <w:b/>
        </w:rPr>
        <w:t>1 dòng ngay đầu tài liệu</w:t>
      </w:r>
      <w:r>
        <w:t xml:space="preserve">: *“THIẾU ẢNH GỖ MỘC — đề nghị chủ dự án cung cấp”*; </w:t>
      </w:r>
      <w:r>
        <w:rPr>
          <w:b/>
        </w:rPr>
        <w:t>không tự suy diễn/bịa</w:t>
      </w:r>
      <w:r>
        <w:t xml:space="preserve"> đặc điểm gỗ mộc.</w:t>
      </w:r>
    </w:p>
    <w:p>
      <w:pPr>
        <w:pStyle w:val="ListBullet"/>
      </w:pPr>
      <w:r>
        <w:t xml:space="preserve">Khi nhận ảnh: nếu </w:t>
      </w:r>
      <w:r>
        <w:rPr>
          <w:b/>
        </w:rPr>
        <w:t>không rõ ảnh nào là gỗ mộc</w:t>
      </w:r>
      <w:r>
        <w:t xml:space="preserve">  dùng `vision_analyze` xem từng ảnh rồi mới đặt tên; nếu ảnh mộc là </w:t>
      </w:r>
      <w:r>
        <w:rPr>
          <w:b/>
        </w:rPr>
        <w:t>cùng tấm gỗ với mẫu</w:t>
      </w:r>
      <w:r>
        <w:t xml:space="preserve"> thì ghi rõ trong tài liệu (mộc  thành phẩm).</w:t>
      </w:r>
    </w:p>
    <w:p>
      <w:pPr>
        <w:pStyle w:val="ListNumber"/>
      </w:pPr>
      <w:r>
        <w:rPr>
          <w:b/>
        </w:rPr>
        <w:t>CHÀ NHÁM LÀM LÁC MÀU  BẮT BUỘC KIỂM TRA MÀU &amp; DẶM MÀU:</w:t>
      </w:r>
      <w:r>
        <w:t xml:space="preserve"> mọi bước chà nhám (kể cả chà mòn/highlight) </w:t>
      </w:r>
      <w:r>
        <w:rPr>
          <w:b/>
        </w:rPr>
        <w:t>có thể làm lác/bạt màu lớp trước</w:t>
      </w:r>
      <w:r>
        <w:t xml:space="preserve"> ⇒ trong bảng quy trình, </w:t>
      </w:r>
      <w:r>
        <w:rPr>
          <w:b/>
        </w:rPr>
        <w:t>sau mỗi lần chà nhám và trước công đoạn sơn phủ kế tiếp</w:t>
      </w:r>
      <w:r>
        <w:t xml:space="preserve"> phải có dòng </w:t>
      </w:r>
      <w:r>
        <w:rPr>
          <w:b/>
        </w:rPr>
        <w:t>“KIỂM TRA MÀU – DẶM MÀU NẾU LÁC”</w:t>
      </w:r>
      <w:r>
        <w:t xml:space="preserve"> (dùng </w:t>
      </w:r>
      <w:r>
        <w:rPr>
          <w:b/>
        </w:rPr>
        <w:t>Bước 6 – Sơn màu điều chỉnh/dặm sương màu loãng</w:t>
      </w:r>
      <w:r>
        <w:t xml:space="preserve"> hoặc </w:t>
      </w:r>
      <w:r>
        <w:rPr>
          <w:b/>
        </w:rPr>
        <w:t>Bước 7 – Màu PAD</w:t>
      </w:r>
      <w:r>
        <w:t xml:space="preserve">), kèm </w:t>
      </w:r>
      <w:r>
        <w:rPr>
          <w:b/>
        </w:rPr>
        <w:t>tỉ lệ pha loãng + cách dặm + phạm vi dặm</w:t>
      </w:r>
      <w:r>
        <w:t xml:space="preserve">. Ngoài bảng luôn có </w:t>
      </w:r>
      <w:r>
        <w:rPr>
          <w:b/>
        </w:rPr>
        <w:t>1 dòng lưu ý</w:t>
      </w:r>
      <w:r>
        <w:t>: *“Sau MỖI lần chà nhám: kiểm tra màu dưới đèn — vùng nào lác/bạt màu thì dặm lại đúng tông rồi mới phủ lớp kế tiếp.”*</w:t>
      </w:r>
    </w:p>
    <w:p>
      <w:pPr>
        <w:pStyle w:val="ListNumber"/>
      </w:pPr>
      <w:r>
        <w:rPr>
          <w:b/>
        </w:rPr>
        <w:t>ZOOM ẢNH ≥ 5 ĐIỂM TRƯỚC KHI KẾT LUẬN HIỆU ỨNG MÀU (chốt 06/10/2026):</w:t>
      </w:r>
      <w:r>
        <w:t xml:space="preserve"> mỗi lô </w:t>
      </w:r>
      <w:r>
        <w:rPr>
          <w:b/>
        </w:rPr>
        <w:t>tự động cắt sẵn các ô zoom</w:t>
      </w:r>
      <w:r>
        <w:t xml:space="preserve"> bằng script `tao_zoom.py`  sinh `anh_mau_moi\zoom_1..8_*.jpg` (6 điểm rải đều 30 %×30 % phóng 3× + ô tối nhất + ô sáng nhất) và </w:t>
      </w:r>
      <w:r>
        <w:rPr>
          <w:b/>
        </w:rPr>
        <w:t>file số liệu đo sẵn</w:t>
      </w:r>
      <w:r>
        <w:t xml:space="preserve"> `anh_mau_moi\_zoom_do_mau.txt` (RGB/hex + L\*a\*b\* + mức biến thiên từng ô). AGY </w:t>
      </w:r>
      <w:r>
        <w:rPr>
          <w:b/>
        </w:rPr>
        <w:t>bắt buộc đọc các ô zoom này</w:t>
      </w:r>
      <w:r>
        <w:t xml:space="preserve">, ghi </w:t>
      </w:r>
      <w:r>
        <w:rPr>
          <w:b/>
        </w:rPr>
        <w:t>1 dòng/điểm</w:t>
      </w:r>
      <w:r>
        <w:t xml:space="preserve"> và </w:t>
      </w:r>
      <w:r>
        <w:rPr>
          <w:b/>
        </w:rPr>
        <w:t>dùng đúng số đo sẵn</w:t>
      </w:r>
      <w:r>
        <w:t xml:space="preserve"> (không tự đoán màu), rồi kết luận kỹ thuật tạo màu theo bảng dấu hiệu:</w:t>
      </w:r>
    </w:p>
    <w:tbl>
      <w:tblPr>
        <w:tblStyle w:val="TableGrid"/>
        <w:tblW w:type="auto" w:w="0"/>
        <w:tblLook w:firstColumn="1" w:firstRow="1" w:lastColumn="0" w:lastRow="0" w:noHBand="0" w:noVBand="1" w:val="04A0"/>
      </w:tblPr>
      <w:tblGrid>
        <w:gridCol w:w="4819"/>
        <w:gridCol w:w="4819"/>
      </w:tblGrid>
      <w:tr>
        <w:tc>
          <w:tcPr>
            <w:tcW w:type="dxa" w:w="4819"/>
          </w:tcPr>
          <w:p>
            <w:r>
              <w:rPr>
                <w:b/>
              </w:rPr>
              <w:t>Hiệu ứng</w:t>
            </w:r>
          </w:p>
        </w:tc>
        <w:tc>
          <w:tcPr>
            <w:tcW w:type="dxa" w:w="4819"/>
          </w:tcPr>
          <w:p>
            <w:r>
              <w:rPr>
                <w:b/>
              </w:rPr>
              <w:t>Dấu hiệu trên ảnh</w:t>
            </w:r>
          </w:p>
        </w:tc>
      </w:tr>
      <w:tr>
        <w:tc>
          <w:tcPr>
            <w:tcW w:type="dxa" w:w="4819"/>
          </w:tcPr>
          <w:p>
            <w:r>
              <w:rPr>
                <w:b/>
              </w:rPr>
              <w:t>Stain màu (nhuộm)</w:t>
            </w:r>
          </w:p>
        </w:tc>
        <w:tc>
          <w:tcPr>
            <w:tcW w:type="dxa" w:w="4819"/>
          </w:tcPr>
          <w:p>
            <w:r>
              <w:t xml:space="preserve">nhuộm </w:t>
            </w:r>
            <w:r>
              <w:rPr>
                <w:b/>
              </w:rPr>
              <w:t>đều</w:t>
            </w:r>
            <w:r>
              <w:t xml:space="preserve"> trên nền gỗ, </w:t>
            </w:r>
            <w:r>
              <w:rPr>
                <w:b/>
              </w:rPr>
              <w:t>không đọng</w:t>
            </w:r>
            <w:r>
              <w:t xml:space="preserve"> ở ghim sớ, chuyển tiếp mượt, chênh sáng giữa các điểm </w:t>
            </w:r>
            <w:r>
              <w:rPr>
                <w:b/>
              </w:rPr>
              <w:t>nhỏ</w:t>
            </w:r>
          </w:p>
        </w:tc>
      </w:tr>
      <w:tr>
        <w:tc>
          <w:tcPr>
            <w:tcW w:type="dxa" w:w="4819"/>
          </w:tcPr>
          <w:p>
            <w:r>
              <w:rPr>
                <w:b/>
              </w:rPr>
              <w:t>Lau màu (wiping stain)</w:t>
            </w:r>
          </w:p>
        </w:tc>
        <w:tc>
          <w:tcPr>
            <w:tcW w:type="dxa" w:w="4819"/>
          </w:tcPr>
          <w:p>
            <w:r>
              <w:rPr>
                <w:b/>
              </w:rPr>
              <w:t>đậm hơn nhưng kém đều</w:t>
            </w:r>
            <w:r>
              <w:t xml:space="preserve"> (dễ đốm) ⇒ </w:t>
            </w:r>
            <w:r>
              <w:rPr>
                <w:b/>
              </w:rPr>
              <w:t>BẮT BUỘC có LÓT LỎNG / washcoat trước khi lau màu để không bị đốm</w:t>
            </w:r>
          </w:p>
        </w:tc>
      </w:tr>
      <w:tr>
        <w:tc>
          <w:tcPr>
            <w:tcW w:type="dxa" w:w="4819"/>
          </w:tcPr>
          <w:p>
            <w:r>
              <w:rPr>
                <w:b/>
              </w:rPr>
              <w:t>Lau glaze LỎNG</w:t>
            </w:r>
          </w:p>
        </w:tc>
        <w:tc>
          <w:tcPr>
            <w:tcW w:type="dxa" w:w="4819"/>
          </w:tcPr>
          <w:p>
            <w:r>
              <w:rPr>
                <w:b/>
              </w:rPr>
              <w:t>ám đen ĐỀU trên NỀN LÓT</w:t>
            </w:r>
            <w:r>
              <w:t xml:space="preserve"> (mặt thịt bị ám mờ) </w:t>
            </w:r>
            <w:r>
              <w:rPr>
                <w:b/>
              </w:rPr>
              <w:t>+ để lại màu trong GHIM SỚ</w:t>
            </w:r>
            <w:r>
              <w:t xml:space="preserve"> — </w:t>
            </w:r>
            <w:r>
              <w:rPr>
                <w:b/>
              </w:rPr>
              <w:t>giống Duro stain</w:t>
            </w:r>
            <w:r>
              <w:t xml:space="preserve"> ⇒ kèm cảnh báo bám dính, test ca-rô tại giao diện</w:t>
            </w:r>
          </w:p>
        </w:tc>
      </w:tr>
      <w:tr>
        <w:tc>
          <w:tcPr>
            <w:tcW w:type="dxa" w:w="4819"/>
          </w:tcPr>
          <w:p>
            <w:r>
              <w:rPr>
                <w:b/>
              </w:rPr>
              <w:t>Duro stain</w:t>
            </w:r>
          </w:p>
        </w:tc>
        <w:tc>
          <w:tcPr>
            <w:tcW w:type="dxa" w:w="4819"/>
          </w:tcPr>
          <w:p>
            <w:r>
              <w:t xml:space="preserve">màu </w:t>
            </w:r>
            <w:r>
              <w:rPr>
                <w:b/>
              </w:rPr>
              <w:t>chỉ đậm ở vân/mạch</w:t>
            </w:r>
            <w:r>
              <w:t>, mặt phẳng hầu như sạch</w:t>
            </w:r>
          </w:p>
        </w:tc>
      </w:tr>
    </w:tbl>
    <w:p>
      <w:pPr>
        <w:pStyle w:val="ListNumber"/>
      </w:pPr>
      <w:r>
        <w:rPr>
          <w:b/>
        </w:rPr>
        <w:t>PHÂN TÍCH MÀU GỖ MỘC:</w:t>
      </w:r>
      <w:r>
        <w:t xml:space="preserve"> khi có ảnh mộc, so sánh số đo màu mộc ↔ màu mẫu để tính </w:t>
      </w:r>
      <w:r>
        <w:rPr>
          <w:b/>
        </w:rPr>
        <w:t>độ hạ tông cần thiết</w:t>
      </w:r>
      <w:r>
        <w:t xml:space="preserve">; khi chưa có, dùng giả định của chủ dự án và </w:t>
      </w:r>
      <w:r>
        <w:rPr>
          <w:b/>
        </w:rPr>
        <w:t>ghi rõ là giả định</w:t>
      </w:r>
      <w:r>
        <w:t>.</w:t>
      </w:r>
    </w:p>
    <w:p>
      <w:pPr>
        <w:pStyle w:val="ListNumber"/>
      </w:pPr>
      <w:r>
        <w:rPr>
          <w:b/>
        </w:rPr>
        <w:t>CÁCH PHA MÀU ĐỂ LAU — DÙNG GLAZE PHA TINH MÀU (chủ dự án xác nhận 06/10/2026):</w:t>
      </w:r>
      <w:r>
        <w:t xml:space="preserve"> bước </w:t>
      </w:r>
      <w:r>
        <w:rPr>
          <w:b/>
        </w:rPr>
        <w:t>Lau màu (Bước 9)</w:t>
      </w:r>
      <w:r>
        <w:t xml:space="preserve"> có thể dùng </w:t>
      </w:r>
      <w:r>
        <w:rPr>
          <w:b/>
        </w:rPr>
        <w:t>glaze nền pha tinh màu rồi pha loãng</w:t>
      </w:r>
      <w:r>
        <w:t xml:space="preserve"> để lau, không cần sản phẩm “wiping stain” riêng. Ghi vào bảng: </w:t>
      </w:r>
      <w:r>
        <w:rPr>
          <w:b/>
        </w:rPr>
        <w:t>glaze : tinh màu ≈ 100 : 3–8</w:t>
      </w:r>
      <w:r>
        <w:t xml:space="preserve"> (đánh dấu là *tỉ lệ đề nghị thử* nếu CSDLA chưa có tỉ lệ chuẩn) + </w:t>
      </w:r>
      <w:r>
        <w:rPr>
          <w:b/>
        </w:rPr>
        <w:t>dung môi bay hơi chậm</w:t>
      </w:r>
      <w:r>
        <w:t xml:space="preserve"> tới ~10–12 s; </w:t>
      </w:r>
      <w:r>
        <w:rPr>
          <w:b/>
        </w:rPr>
        <w:t>dùng hết trong 2–3 h</w:t>
      </w:r>
      <w:r>
        <w:t xml:space="preserve">; lau </w:t>
      </w:r>
      <w:r>
        <w:rPr>
          <w:b/>
        </w:rPr>
        <w:t>miết theo chiều thớ</w:t>
      </w:r>
      <w:r>
        <w:t xml:space="preserve"> cho màu chui vào ghim sớ rồi </w:t>
      </w:r>
      <w:r>
        <w:rPr>
          <w:b/>
        </w:rPr>
        <w:t>lau sạch mặt thịt</w:t>
      </w:r>
      <w:r>
        <w:t xml:space="preserve"> — màu nằm TRONG rãnh, mặt phẳng sạch.</w:t>
      </w:r>
    </w:p>
    <w:p>
      <w:pPr>
        <w:pStyle w:val="ListNumber"/>
      </w:pPr>
      <w:r>
        <w:rPr>
          <w:b/>
        </w:rPr>
        <w:t xml:space="preserve"> TRƯỚC KHI LAU GLAZE MÀU — KHÔ HOÀN TOÀN &amp; KHÔNG CHÀ XƯỚC (lưu ý trực tiếp của chủ dự án 06/10/2026):</w:t>
      </w:r>
      <w:r>
        <w:t xml:space="preserve"> (1) bề mặt lót phải </w:t>
      </w:r>
      <w:r>
        <w:rPr>
          <w:b/>
        </w:rPr>
        <w:t>khô tương đối hoàn toàn</w:t>
      </w:r>
      <w:r>
        <w:t xml:space="preserve">; (2) </w:t>
      </w:r>
      <w:r>
        <w:rPr>
          <w:b/>
        </w:rPr>
        <w:t>tuyệt đối không xả nhám/gây xước mặt lót trước khi lau</w:t>
      </w:r>
      <w:r>
        <w:t xml:space="preserve"> — màu chui xuống </w:t>
      </w:r>
      <w:r>
        <w:rPr>
          <w:b/>
        </w:rPr>
        <w:t>vết sắt nhám ⇒ THÂM MÀU</w:t>
      </w:r>
      <w:r>
        <w:t xml:space="preserve">; (3) </w:t>
      </w:r>
      <w:r>
        <w:rPr>
          <w:b/>
        </w:rPr>
        <w:t>không để sơn chịu khô (dry spray)/rãnh sơn khô</w:t>
      </w:r>
      <w:r>
        <w:t xml:space="preserve"> — màu thấm vào đó cũng </w:t>
      </w:r>
      <w:r>
        <w:rPr>
          <w:b/>
        </w:rPr>
        <w:t>thâm màu</w:t>
      </w:r>
      <w:r>
        <w:t xml:space="preserve">; (4) nếu buộc phải xả nhám: nhám rất mịn + xả cực nhẹ (ghi chú chuẩn công ty id 111: *“chú ý không chà xước lẹm bay mất màu”*), rồi thổi bụi + lau tack. ⇒ </w:t>
      </w:r>
      <w:r>
        <w:rPr>
          <w:b/>
        </w:rPr>
        <w:t>Bước chà nhám trong bảng phải đặt SAU lớp khoá lót trong (B20), không đặt trước bước lau màu.</w:t>
      </w:r>
    </w:p>
    <w:p>
      <w:pPr>
        <w:pStyle w:val="ListNumber"/>
      </w:pPr>
      <w:r>
        <w:rPr>
          <w:b/>
        </w:rPr>
        <w:t>MÀU CÓ CHIỀU SÂU — NHIỀU LỚP MÀU (luật huấn luyện id 20, chốt 06/10/2026):</w:t>
      </w:r>
      <w:r>
        <w:t xml:space="preserve"> với mẫu nhiều khối màu, </w:t>
      </w:r>
      <w:r>
        <w:rPr>
          <w:b/>
        </w:rPr>
        <w:t>cho phép chia nhiều lần sơn màu</w:t>
      </w:r>
      <w:r>
        <w:t xml:space="preserve"> theo nguyên tắc </w:t>
      </w:r>
      <w:r>
        <w:rPr>
          <w:b/>
        </w:rPr>
        <w:t>MÀU DƯỚI ĐẬM HƠN MÀU TRÊN</w:t>
      </w:r>
      <w:r>
        <w:t xml:space="preserve"> (tạo độ sâu, màu “trong” hơn); </w:t>
      </w:r>
      <w:r>
        <w:rPr>
          <w:b/>
        </w:rPr>
        <w:t>pad stain / đánh glaze</w:t>
      </w:r>
      <w:r>
        <w:t xml:space="preserve"> phải tạo </w:t>
      </w:r>
      <w:r>
        <w:rPr>
          <w:b/>
        </w:rPr>
        <w:t>chuyển màu tối  sáng, nhạt dần</w:t>
      </w:r>
      <w:r>
        <w:t xml:space="preserve"> ở vùng cần sáng (đánh khối có chủ đích, không dàn đều). Bảng quy trình phải ghi rõ thứ tự lớp màu (đậm trước, nhạt sau).</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