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NÂU XÁM TRO (LÔ 05)</w:t>
      </w:r>
    </w:p>
    <w:p>
      <w:r>
        <w:t>*Ngày: 06/10/2026 · Hệ sơn: NC · Độ bóng mục tiêu: mờ 5–15 GU*</w:t>
      </w:r>
    </w:p>
    <w:p>
      <w:r>
        <w:drawing>
          <wp:inline xmlns:a="http://schemas.openxmlformats.org/drawingml/2006/main" xmlns:pic="http://schemas.openxmlformats.org/drawingml/2006/picture">
            <wp:extent cx="4320000" cy="3620153"/>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3620153"/>
                    </a:xfrm>
                    <a:prstGeom prst="rect"/>
                  </pic:spPr>
                </pic:pic>
              </a:graphicData>
            </a:graphic>
          </wp:inline>
        </w:drawing>
      </w:r>
    </w:p>
    <w:p>
      <w:r>
        <w:rPr>
          <w:b/>
          <w:i/>
        </w:rPr>
        <w:t>THIẾU ẢNH GỖ MỘC — đề nghị chủ dự án cung cấp.</w:t>
      </w:r>
      <w:r>
        <w:rPr>
          <w:i/>
        </w:rPr>
        <w:t xml:space="preserve"> Tạm tính gỗ mộc tông sáng, hơi ngả vàng.</w:t>
      </w:r>
    </w:p>
    <w:p>
      <w:pPr>
        <w:pStyle w:val="Heading2"/>
      </w:pPr>
      <w:r>
        <w:t>PHƯƠNG ÁN 1 — KHUYẾN NGHỊ</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w:t>
            </w:r>
          </w:p>
        </w:tc>
        <w:tc>
          <w:tcPr>
            <w:tcW w:type="dxa" w:w="1377"/>
          </w:tcPr>
          <w:p>
            <w:r>
              <w:t>100 : 100–150 dung môi NC</w:t>
            </w:r>
          </w:p>
        </w:tc>
        <w:tc>
          <w:tcPr>
            <w:tcW w:type="dxa" w:w="1377"/>
          </w:tcPr>
          <w:p>
            <w:r>
              <w:t>Phun súng 1 pass hoặc lau đều</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NC pha rất loãng (độ nhớt 10–12 s NK2)</w:t>
            </w:r>
          </w:p>
        </w:tc>
        <w:tc>
          <w:tcPr>
            <w:tcW w:type="dxa" w:w="1377"/>
          </w:tcPr>
          <w:p>
            <w:r>
              <w:t>100 : 150–200 dung môi NC</w:t>
            </w:r>
          </w:p>
        </w:tc>
        <w:tc>
          <w:tcPr>
            <w:tcW w:type="dxa" w:w="1377"/>
          </w:tcPr>
          <w:p>
            <w:r>
              <w:t>Phun lướt 1 pass mỏng, màng ướt 40–50 µm (giữ mở miệng ống mạch)</w:t>
            </w:r>
          </w:p>
        </w:tc>
        <w:tc>
          <w:tcPr>
            <w:tcW w:type="dxa" w:w="1377"/>
          </w:tcPr>
          <w:p>
            <w:r>
              <w:t>30–45 phút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Tinh màu nâu tro NC pha rất loãng</w:t>
            </w:r>
          </w:p>
        </w:tc>
        <w:tc>
          <w:tcPr>
            <w:tcW w:type="dxa" w:w="1377"/>
          </w:tcPr>
          <w:p>
            <w:r>
              <w:t>100 : 300–400 dung môi NC</w:t>
            </w:r>
          </w:p>
        </w:tc>
        <w:tc>
          <w:tcPr>
            <w:tcW w:type="dxa" w:w="1377"/>
          </w:tcPr>
          <w:p>
            <w:r>
              <w:t>Kiểm tra dưới đèn + dặm sương màu siêu mịn chỗ lác; tuyệt đối không xả nhám mặt lót</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Glaze nền pha tinh màu nâu đen khói rồi pha loãng</w:t>
            </w:r>
          </w:p>
        </w:tc>
        <w:tc>
          <w:tcPr>
            <w:tcW w:type="dxa" w:w="1377"/>
          </w:tcPr>
          <w:p>
            <w:r>
              <w:t>Glaze : tinh màu ≈ 100 : 3–8, pha loãng bằng dung môi bay hơi chậm tới 10–12 s; dùng trong 2–3 giờ</w:t>
            </w:r>
          </w:p>
        </w:tc>
        <w:tc>
          <w:tcPr>
            <w:tcW w:type="dxa" w:w="1377"/>
          </w:tcPr>
          <w:p>
            <w:r>
              <w:t>Quét/lau miết mạnh theo chiều thớ cho màu chui vào ghim sớ, lau sạch mặt thịt</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 phụ gia chậm khô</w:t>
            </w:r>
          </w:p>
        </w:tc>
        <w:tc>
          <w:tcPr>
            <w:tcW w:type="dxa" w:w="1377"/>
          </w:tcPr>
          <w:p>
            <w:r>
              <w:t>100 : 120–140 : 3 (12–14 s NK2)</w:t>
            </w:r>
          </w:p>
        </w:tc>
        <w:tc>
          <w:tcPr>
            <w:tcW w:type="dxa" w:w="1377"/>
          </w:tcPr>
          <w:p>
            <w:r>
              <w:t>Phun súng caro 2 passes, màng ướt ≥ 100–120 µm (khóa chặt màu trong sớ)</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mờ 10% + phụ gia chống trầy</w:t>
            </w:r>
          </w:p>
        </w:tc>
        <w:tc>
          <w:tcPr>
            <w:tcW w:type="dxa" w:w="1377"/>
          </w:tcPr>
          <w:p>
            <w:r>
              <w:t>100 : 100–120 : 3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Heading2"/>
      </w:pPr>
      <w:r>
        <w:t>PHƯƠNG ÁN 2 — THAY THẾ</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w:t>
            </w:r>
          </w:p>
        </w:tc>
        <w:tc>
          <w:tcPr>
            <w:tcW w:type="dxa" w:w="1377"/>
          </w:tcPr>
          <w:p>
            <w:r>
              <w:t>100 : 100–150 dung môi NC</w:t>
            </w:r>
          </w:p>
        </w:tc>
        <w:tc>
          <w:tcPr>
            <w:tcW w:type="dxa" w:w="1377"/>
          </w:tcPr>
          <w:p>
            <w:r>
              <w:t>Phun súng 1 pass hoặc lau đều</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nâu tro sẫm / đen khói</w:t>
            </w:r>
          </w:p>
        </w:tc>
        <w:tc>
          <w:tcPr>
            <w:tcW w:type="dxa" w:w="1377"/>
          </w:tcPr>
          <w:p>
            <w:r>
              <w:t>100 : 100–120 dung môi NC (12–14 s NK2)</w:t>
            </w:r>
          </w:p>
        </w:tc>
        <w:tc>
          <w:tcPr>
            <w:tcW w:type="dxa" w:w="1377"/>
          </w:tcPr>
          <w:p>
            <w:r>
              <w:t>Phun súng 1–2 passes mỏng điền sâu vào miệng ống mạch hở</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mặt thịt để lộ màu nền, giữ màu tối trong rãnh mạch</w:t>
            </w:r>
          </w:p>
        </w:tc>
        <w:tc>
          <w:tcPr>
            <w:tcW w:type="dxa" w:w="1377"/>
          </w:tcPr>
          <w:p>
            <w:r>
              <w:t>Thao tác khi lót ráo</w:t>
            </w:r>
          </w:p>
        </w:tc>
        <w:tc>
          <w:tcPr>
            <w:tcW w:type="dxa" w:w="1377"/>
          </w:tcPr>
          <w:p>
            <w:r>
              <w:t>Nhám xốp #320–#400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nâu tro NC pha rất loãng</w:t>
            </w:r>
          </w:p>
        </w:tc>
        <w:tc>
          <w:tcPr>
            <w:tcW w:type="dxa" w:w="1377"/>
          </w:tcPr>
          <w:p>
            <w:r>
              <w:t>100 : 300–400 dung môi NC</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 phụ gia chậm khô</w:t>
            </w:r>
          </w:p>
        </w:tc>
        <w:tc>
          <w:tcPr>
            <w:tcW w:type="dxa" w:w="1377"/>
          </w:tcPr>
          <w:p>
            <w:r>
              <w:t>100 : 120–140 : 3 (12–14 s NK2)</w:t>
            </w:r>
          </w:p>
        </w:tc>
        <w:tc>
          <w:tcPr>
            <w:tcW w:type="dxa" w:w="1377"/>
          </w:tcPr>
          <w:p>
            <w:r>
              <w:t>Phun súng caro 2 passes, màng ướt ≥ 100–120 µm (khóa cố định màu và tạo liên kết liền khối)</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mờ 10% + phụ gia chống trầy</w:t>
            </w:r>
          </w:p>
        </w:tc>
        <w:tc>
          <w:tcPr>
            <w:tcW w:type="dxa" w:w="1377"/>
          </w:tcPr>
          <w:p>
            <w:r>
              <w:t>100 : 100–120 : 3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ListBullet"/>
      </w:pPr>
      <w:r>
        <w:rPr>
          <w:b/>
        </w:rPr>
        <w:t>Khác biệt chính:</w:t>
      </w:r>
      <w:r>
        <w:t xml:space="preserve"> Tuyến thay thế không dùng washcoat và không lau glaze, mà dùng sơn lót pha màu (Bước 8) rồi chà mòn nhẹ (Bước 13) để lộ nền thớ gỗ, tạo màng sơn đồng nhất liền khối và loại trừ nguy cơ bong tróc cơ học.</w:t>
      </w:r>
    </w:p>
    <w:p>
      <w:pPr>
        <w:pStyle w:val="Heading2"/>
      </w:pPr>
      <w:r>
        <w:t>LƯU Ý BẮT BUỘC</w:t>
      </w:r>
    </w:p>
    <w:p>
      <w:pPr>
        <w:pStyle w:val="ListNumber"/>
      </w:pPr>
      <w:r>
        <w:rPr>
          <w:b/>
        </w:rPr>
        <w:t>Trước khi lau màu:</w:t>
      </w:r>
      <w:r>
        <w:t xml:space="preserve"> Bề mặt lót phải khô tương đối hoàn toàn; tuyệt đối không xả nhám hoặc gây xước mặt lót (màu sẽ chui xuống vết nhám gây thâm màu); không để sơn bị khô bụi (dry spray); nếu buộc xả nhám thì dùng nhám rất mịn, xả cực nhẹ rồi thổi sạch bụi và lau tack trước khi lau màu.</w:t>
      </w:r>
    </w:p>
    <w:p>
      <w:pPr>
        <w:pStyle w:val="ListNumber"/>
      </w:pPr>
      <w:r>
        <w:rPr>
          <w:b/>
        </w:rPr>
        <w:t>Sau MỖI lần chà nhám:</w:t>
      </w:r>
      <w:r>
        <w:t xml:space="preserve"> Bắt buộc kiểm tra màu dưới đèn — vùng nào lác/bạt màu thì dặm màu đúng tông (bằng phun sương loãng hoặc dùng pad) rồi mới thi công công đoạn tiếp theo.</w:t>
      </w:r>
    </w:p>
    <w:p>
      <w:pPr>
        <w:pStyle w:val="ListNumber"/>
      </w:pPr>
      <w:r>
        <w:rPr>
          <w:b/>
        </w:rPr>
        <w:t>Pha màu lau:</w:t>
      </w:r>
      <w:r>
        <w:t xml:space="preserve"> Sử dụng glaze nền pha tinh màu (tỉ lệ thử nghiệm 100 : 3–8), pha loãng bằng dung môi bay hơi chậm đến độ nhớt ~10–12 s; sau khi pha phải dùng hết trong vòng 2–3 giờ.</w:t>
      </w:r>
    </w:p>
    <w:p>
      <w:pPr>
        <w:pStyle w:val="ListNumber"/>
      </w:pPr>
      <w:r>
        <w:rPr>
          <w:b/>
        </w:rPr>
        <w:t>Kiểm tra độ bám dính:</w:t>
      </w:r>
      <w:r>
        <w:t xml:space="preserve"> Thử nghiệm cắt ca-rô và giật băng keo (ASTM D3359) trên thẻ mẫu sau khi khô ≥ 20–24 giờ, đạt cấp 4B–5B mới cho chạy chuyền sản xuất; phun lót khóa 2 passes màng ướt đạt ≥ 100–120 µm.</w:t>
      </w:r>
    </w:p>
    <w:p>
      <w:pPr>
        <w:pStyle w:val="ListNumber"/>
      </w:pPr>
      <w:r>
        <w:rPr>
          <w:b/>
        </w:rPr>
        <w:t>Thời gian khô:</w:t>
      </w:r>
      <w:r>
        <w:t xml:space="preserve"> Đảm bảo sản phẩm khô tối thiểu 12–24 giờ trước khi tiến hành đóng gói.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