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4E79"/>
          <w:sz w:val="44"/>
        </w:rPr>
        <w:t>BÁO CÁO CÔNG NGHỆ CHUYÊN SÂU</w:t>
        <w:br/>
      </w:r>
      <w:r>
        <w:rPr>
          <w:rFonts w:ascii="Arial" w:hAnsi="Arial"/>
          <w:b/>
          <w:color w:val="7F6000"/>
          <w:sz w:val="32"/>
        </w:rPr>
        <w:t>BIẾN TÍNH VÀ ỨNG DỤNG DẦU THỰC VẬT TRONG BẢO QUẢN GỖ NGOÀI TRỜI</w:t>
        <w:br/>
      </w:r>
    </w:p>
    <w:p>
      <w:pPr>
        <w:jc w:val="center"/>
      </w:pPr>
      <w:r>
        <w:rPr>
          <w:rFonts w:ascii="Arial" w:hAnsi="Arial"/>
          <w:i/>
          <w:color w:val="666666"/>
          <w:sz w:val="22"/>
        </w:rPr>
        <w:t>Tài liệu nghiên cứu R&amp;D toàn diện về các giải pháp bảo vệ bề mặt gỗ xanh sinh học</w:t>
        <w:br/>
        <w:t>Thời gian thực hiện: 2025 - 2026 | Phòng R&amp;D BTChem</w:t>
        <w:br/>
      </w:r>
    </w:p>
    <w:p>
      <w:pPr>
        <w:spacing w:after="480"/>
      </w:pPr>
    </w:p>
    <w:p>
      <w:pPr>
        <w:keepNext/>
        <w:spacing w:before="360" w:after="120"/>
      </w:pPr>
      <w:r>
        <w:rPr>
          <w:rFonts w:ascii="Arial" w:hAnsi="Arial"/>
          <w:b/>
          <w:color w:val="1F4E79"/>
          <w:sz w:val="28"/>
        </w:rPr>
        <w:t>TÓM TẮT DỰ ÁN</w:t>
      </w:r>
    </w:p>
    <w:p>
      <w:pPr>
        <w:spacing w:after="120" w:line="276" w:lineRule="auto"/>
      </w:pPr>
      <w:r>
        <w:rPr>
          <w:rFonts w:ascii="Arial" w:hAnsi="Arial"/>
          <w:color w:val="333333"/>
          <w:sz w:val="21"/>
        </w:rPr>
        <w:t>Nghiên cứu này trình bày một cách hệ thống và toàn diện quá trình biến tính hóa học dầu thực vật bản địa, tập trung vào dầu lanh (Refined Linseed Oil - RLO) và dầu trẩu (Tung Oil - TO), nhằm tạo ra các hệ chất phủ bảo quản gỗ có khả năng chống chịu thời tiết vượt trội cho các ứng dụng ngoài trời. Thông qua các kỹ thuật tiên tiến bao gồm malein hóa (maleinization), nhũ hóa hệ nước và hệ dầu, glycerolysis, và acrylate hóa cho hệ đóng rắn UV, nhóm nghiên cứu tại BTChem đã phát triển thành công nhiều dòng sản phẩm mới. Đặc biệt, phát hiện mang tính đột phá về quy trình phối hợp hai lớp RLO lót và lớp phủ bảo vệ MATR (hoặc MATR WO) đã mở ra hướng đi mới giúp cải thiện độ ổn định kích thước, chống xù ghim, ngăn ngừa nấm mốc và hạn chế tối đa hiện tượng bạc màu của gỗ tự nhiên sau 30 ngày phơi thời tiết khắc nghiệt. Nghiên cứu cũng đánh giá chi tiết ưu nhược điểm của các tác nhân liên kết chéo, sáp biến tính, dung môi sinh học và các chất làm khô kim loại thân thiện môi trường.</w:t>
      </w:r>
    </w:p>
    <w:p>
      <w:pPr>
        <w:keepNext/>
        <w:spacing w:before="360" w:after="120"/>
      </w:pPr>
      <w:r>
        <w:rPr>
          <w:rFonts w:ascii="Arial" w:hAnsi="Arial"/>
          <w:b/>
          <w:color w:val="1F4E79"/>
          <w:sz w:val="28"/>
        </w:rPr>
        <w:t>CHƯƠNG I: TỔNG QUAN VỀ DẦU THỰC VẬT TRONG CÔNG NGHỆ SƠN PHỦ</w:t>
      </w:r>
    </w:p>
    <w:p>
      <w:pPr>
        <w:keepNext/>
        <w:spacing w:before="240" w:after="80"/>
      </w:pPr>
      <w:r>
        <w:rPr>
          <w:rFonts w:ascii="Arial" w:hAnsi="Arial"/>
          <w:b/>
          <w:color w:val="7F6000"/>
          <w:sz w:val="24"/>
        </w:rPr>
        <w:t>1.1. Xu hướng chất phủ xanh sinh học và bài toán bảo quản gỗ</w:t>
      </w:r>
    </w:p>
    <w:p>
      <w:pPr>
        <w:spacing w:after="120" w:line="276" w:lineRule="auto"/>
      </w:pPr>
      <w:r>
        <w:rPr>
          <w:rFonts w:ascii="Arial" w:hAnsi="Arial"/>
          <w:color w:val="333333"/>
          <w:sz w:val="21"/>
        </w:rPr>
        <w:t>Trong những năm gần đây, áp lực từ các quy định môi trường nghiêm ngặt liên quan đến hàm lượng chất hữu cơ dễ bay hơi (VOCs) cùng với sự nâng cao nhận thức của người tiêu dùng về sức khỏe đã thúc đẩy ngành công nghiệp sơn phủ chuyển dịch mạnh mẽ sang các hệ chất phủ có gốc sinh học (bio-based coatings). Gỗ tự nhiên là một vật liệu xây dựng và trang trí nội ngoại thất truyền thống nhưng có tính chất hút ẩm cao, dễ bị phân hủy sinh học do nấm mốc, côn trùng, và dễ bị hủy hoại bề mặt dưới tác động của tia cực tím (UV) và nước mưa. Các giải pháp truyền thống như sơn polyurethane (PU) hai thành phần tuy cung cấp khả năng bảo vệ bề mặt rất tốt nhưng lại làm mất đi vẻ đẹp tự nhiên, cảm giác thớ gỗ chân thật và thải ra môi trường lượng lớn dung môi độc hại trong quá trình thi công.</w:t>
      </w:r>
    </w:p>
    <w:p>
      <w:pPr>
        <w:spacing w:after="120" w:line="276" w:lineRule="auto"/>
      </w:pPr>
      <w:r>
        <w:rPr>
          <w:rFonts w:ascii="Arial" w:hAnsi="Arial"/>
          <w:color w:val="333333"/>
          <w:sz w:val="21"/>
        </w:rPr>
        <w:t>Dầu thực vật, với nguồn cung dồi dào, khả năng phân hủy sinh học cao, không độc hại và có cấu trúc triglyceride đặc trưng chứa các axit béo chưa no, là ứng cử viên lý tưởng để thay thế các polyme gốc dầu mỏ. Việc ứng dụng dầu thực vật trực tiếp làm dầu lau bảo quản gỗ đã được thực hiện từ lâu đời, song các hạn chế cố hữu như thời gian khô rất lâu (24 đến 72 giờ đối với dầu lanh sống), khả năng kháng nước kém, dễ bị nấm mốc tấn công do chứa nhiều chất dinh dưỡng hữu cơ và độ cứng màng sơn thấp vẫn là những rào cản kỹ thuật lớn đối với sản xuất quy mô công nghiệp.</w:t>
      </w:r>
    </w:p>
    <w:p>
      <w:pPr>
        <w:keepNext/>
        <w:spacing w:before="240" w:after="80"/>
      </w:pPr>
      <w:r>
        <w:rPr>
          <w:rFonts w:ascii="Arial" w:hAnsi="Arial"/>
          <w:b/>
          <w:color w:val="7F6000"/>
          <w:sz w:val="24"/>
        </w:rPr>
        <w:t>1.2. Hóa học của dầu lanh (Linseed Oil) và dầu trẩu (Tung Oil)</w:t>
      </w:r>
    </w:p>
    <w:p>
      <w:pPr>
        <w:spacing w:after="120" w:line="276" w:lineRule="auto"/>
      </w:pPr>
      <w:r>
        <w:rPr>
          <w:rFonts w:ascii="Arial" w:hAnsi="Arial"/>
          <w:color w:val="333333"/>
          <w:sz w:val="21"/>
        </w:rPr>
        <w:t>Dầu lanh tinh luyện (RLO) chứa hàm lượng rất cao các axit béo không no đa chức, đặc biệt là axit linolenic (chứa 3 liên kết đôi cô lập, chiếm 50-60%), axit linoleic (2 liên kết đôi, chiếm 15-20%) và axit oleic (1 liên kết đôi, chiếm 15-20%). Cơ chế khô của dầu lanh dựa trên quá trình tự oxy hóa (autoxidation). Khi tiếp xúc với oxy không khí, các liên kết đôi methylene hoạt động bị tấn công tạo ra hydroperoxide, sau đó phân hủy thành các gốc tự do và bắt đầu phản ứng trùng hợp tạo ra các liên kết ngang ether (-O-O- hoặc -O-). Quá trình này diễn ra cực kỳ chậm ở nhiệt độ phòng và đòi hỏi sự có mặt của các chất làm khô kim loại (catalyst driers) như cobalt, manganese, zirconium làm chất xúc tác chuyển hóa.</w:t>
      </w:r>
    </w:p>
    <w:p>
      <w:pPr>
        <w:spacing w:after="120" w:line="276" w:lineRule="auto"/>
      </w:pPr>
      <w:r>
        <w:rPr>
          <w:rFonts w:ascii="Arial" w:hAnsi="Arial"/>
          <w:color w:val="333333"/>
          <w:sz w:val="21"/>
        </w:rPr>
        <w:t>Ngược lại với dầu lanh, dầu trẩu (Tung Oil - TO) chứa khoảng 80% axit alpha-eleostearic, một axit béo liên hợp có 3 liên kết đôi xếp kề nhau. Do sự liên hợp của các liên kết đôi này, dầu trẩu khô theo cơ chế oxy hóa kết hợp với phản ứng trùng hợp Diels-Alder trực tiếp giữa các chuỗi axit béo. Thời gian khô của dầu trẩu nhanh hơn rất nhiều so với dầu lanh (thường dưới 24 giờ mà không cần lượng lớn chất làm khô kim loại độc hại). Đồng thời, cấu trúc mạng lưới polyme mật độ cao giúp màng dầu trẩu có khả năng kháng nước, kháng hóa chất vượt trội và tạo độ dai dẻo tuyệt vời cho màng phủ. Tuy nhiên, dầu trẩu có giá thành rất cao, độ nhớt lớn khó thi công lau và màng dầu dễ bị nhăn nếu khô quá nhanh trong điều kiện ẩm cao.</w:t>
      </w:r>
    </w:p>
    <w:p>
      <w:pPr>
        <w:keepNext/>
        <w:spacing w:before="360" w:after="120"/>
      </w:pPr>
      <w:r>
        <w:rPr>
          <w:rFonts w:ascii="Arial" w:hAnsi="Arial"/>
          <w:b/>
          <w:color w:val="1F4E79"/>
          <w:sz w:val="28"/>
        </w:rPr>
        <w:t>CHƯƠNG II: PHẢN ỨNG MALEIN HÓA VÀ CÁC THỬ NGHIỆM BIẾN TÍNH DẦU NỀN</w:t>
      </w:r>
    </w:p>
    <w:p>
      <w:pPr>
        <w:keepNext/>
        <w:spacing w:before="240" w:after="80"/>
      </w:pPr>
      <w:r>
        <w:rPr>
          <w:rFonts w:ascii="Arial" w:hAnsi="Arial"/>
          <w:b/>
          <w:color w:val="7F6000"/>
          <w:sz w:val="24"/>
        </w:rPr>
        <w:t>2.1. Bản chất hóa học và cơ chế phản ứng malein hóa</w:t>
      </w:r>
    </w:p>
    <w:p>
      <w:pPr>
        <w:spacing w:after="120" w:line="276" w:lineRule="auto"/>
      </w:pPr>
      <w:r>
        <w:rPr>
          <w:rFonts w:ascii="Arial" w:hAnsi="Arial"/>
          <w:color w:val="333333"/>
          <w:sz w:val="21"/>
        </w:rPr>
        <w:t>Để khắc phục nhược điểm khô chậm và tính kị nước kém của dầu lanh sống, phản ứng malein hóa (maleinization) là một trong những phương pháp biến tính hóa học hiệu quả nhất. Phản ứng này sử dụng Maleic Anhydride (MA) để gắn các vòng anhydride phân cực vào chuỗi axit béo chưa no của dầu thực vật. Đối với các hệ axit béo chưa no cô lập trong dầu lanh, phản ứng xảy ra chủ yếu qua cơ chế phản ứng 'ene' ở nhiệt độ cao (180-220°C), gắn nhóm maleic anhydride vào vị trí carbon đồng minh (allylic carbon) mà không làm mất đi các liên kết đôi cần thiết cho quá trình tự oxy hóa sau này. Đối với dầu trẩu chứa liên kết đôi liên hợp, phản ứng Diels-Alder xảy ra dễ dàng hơn ở nhiệt độ thấp hơn (80-120°C). Việc gắn thêm các nhóm anhydride giúp phân cực hóa mạch hydrocacbon kị nước của dầu, cho phép các nhóm carboxyl (-COOH) được tạo thành sau khi mở vòng phản ứng với nước hoặc amin tạo ra khả năng tự nhũ hóa trong nước. Ngoài ra, sự có mặt của nhóm axit cacboxylic phân cực thúc đẩy sự bám dính tốt của dầu với cấu trúc cellulose và lignin của thớ gỗ thông qua liên kết hydro.</w:t>
      </w:r>
    </w:p>
    <w:p>
      <w:pPr>
        <w:keepNext/>
        <w:spacing w:before="240" w:after="80"/>
      </w:pPr>
      <w:r>
        <w:rPr>
          <w:rFonts w:ascii="Arial" w:hAnsi="Arial"/>
          <w:b/>
          <w:color w:val="7F6000"/>
          <w:sz w:val="24"/>
        </w:rPr>
        <w:t>2.2. Kết quả thực nghiệm nấu dầu biến tính M2005 và M2205</w:t>
      </w:r>
    </w:p>
    <w:p>
      <w:pPr>
        <w:spacing w:after="120" w:line="276" w:lineRule="auto"/>
      </w:pPr>
      <w:r>
        <w:rPr>
          <w:rFonts w:ascii="Arial" w:hAnsi="Arial"/>
          <w:color w:val="333333"/>
          <w:sz w:val="21"/>
        </w:rPr>
        <w:t>Phòng R&amp;D đã tiến hành các thử nghiệm nấu dầu lanh biến tính malein hóa ký hiệu là M2005 (sử dụng 6% MA) và M2205 (sử dụng 10% MA) với chất khơi mào gốc tự do Benzoyl Peroxide (BPO) ở nhiệt độ 150°C trong khoảng thời gian từ 2.5 đến 3 giờ. Kết quả đo lường thực nghiệm cho thấy sự biến đổi rõ rệt về tính chất lý hóa so với dầu lanh RLO nguyên bản. Dầu lanh RLO gốc có độ nhớt đo qua phễu NK2 chỉ đạt 11.56 giây, dung dịch màu vàng nhạt lỏng. Mẫu M2005 (6% MA) sau phản ứng chuyển sang màu vàng cam trong suốt, độ nhớt NK2 tăng lên đáng kể đạt 21.44 giây và có mùi axit nhẹ. Trong khi đó, mẫu M2205 (10% MA) có độ nhớt NK2 lên tới 37.78 giây, dung dịch hơi đục và có mùi axit rất nồng do lượng MA dư thừa chưa phản ứng hết.</w:t>
      </w:r>
    </w:p>
    <w:p>
      <w:pPr>
        <w:spacing w:after="120" w:line="276" w:lineRule="auto"/>
      </w:pPr>
      <w:r>
        <w:rPr>
          <w:rFonts w:ascii="Arial" w:hAnsi="Arial"/>
          <w:color w:val="333333"/>
          <w:sz w:val="21"/>
        </w:rPr>
        <w:t>Đáng chú ý, cả hai mẫu biến tính đều thể hiện tính năng tự nhũ hóa xuất sắc trong nước khi kết hợp với chất hoạt động bề mặt Tween 20. Về thời gian khô và khả năng kháng nước, khi pha với dung môi và chất làm khô CF100, mẫu M2005 cho thời gian khô ráo hoàn toàn từ 6 đến 8 giờ, bề mặt gỗ sau khi lau giữ nguyên màu sắc tự nhiên và không xuất hiện các vết loang lổ. Mẫu M2205 có thời gian khô chậm hơn (&gt;10 giờ) do lượng axit phân cực cao hút ẩm từ môi trường và bề mặt màng dầu bị rít. Thử nghiệm kháng nước trong 48 giờ trên tấm gỗ thông cho thấy cả M2005 và M2205 đều loại bỏ hoàn toàn các vết ố nước, trong khi dầu lanh RLO gốc bị loang lổ và xù ghim gỗ nghiêm trọng. Qua đó, nhóm nghiên cứu xác định tỷ lệ 6% MA trong mẫu M2005 là tỷ lệ vàng tối ưu.</w:t>
      </w:r>
    </w:p>
    <w:p>
      <w:pPr>
        <w:keepNext/>
        <w:spacing w:before="360" w:after="120"/>
      </w:pPr>
      <w:r>
        <w:rPr>
          <w:rFonts w:ascii="Arial" w:hAnsi="Arial"/>
          <w:b/>
          <w:color w:val="1F4E79"/>
          <w:sz w:val="28"/>
        </w:rPr>
        <w:t>CHƯƠNG III: CÔNG NGHỆ NHŨ TƯƠNG DẦU THỰC VẬT HỆ NƯỚC (O/W) VÀ HỆ DẦU (W/O)</w:t>
      </w:r>
    </w:p>
    <w:p>
      <w:pPr>
        <w:keepNext/>
        <w:spacing w:before="240" w:after="80"/>
      </w:pPr>
      <w:r>
        <w:rPr>
          <w:rFonts w:ascii="Arial" w:hAnsi="Arial"/>
          <w:b/>
          <w:color w:val="7F6000"/>
          <w:sz w:val="24"/>
        </w:rPr>
        <w:t>3.1. Thiết lập công thức nhũ tương và đánh giá độ ổn định</w:t>
      </w:r>
    </w:p>
    <w:p>
      <w:pPr>
        <w:spacing w:after="120" w:line="276" w:lineRule="auto"/>
      </w:pPr>
      <w:r>
        <w:rPr>
          <w:rFonts w:ascii="Arial" w:hAnsi="Arial"/>
          <w:color w:val="333333"/>
          <w:sz w:val="21"/>
        </w:rPr>
        <w:t>Ứng dụng dầu biến tính M2005 vào các hệ chất phủ đòi hỏi việc thiết lập các hệ nhũ tương ổn định để giảm thiểu việc sử dụng dung môi hữu cơ. Nhóm nghiên cứu đã phát triển hai hệ nhũ tương đối lập: Nước-trong-Dầu (Water-in-Oil - W/O, hệ dầu) và Dầu-trong-Nước (Oil-in-Water - O/W, hệ nước). Đối với hệ nhũ W/O, pha dầu M2005 đóng vai trò là pha liên tục bao bọc các giọt nước nhỏ phân tán bên trong. Công thức tối ưu được thiết lập bằng cách kết hợp M2005 với dầu paraffin (paraffin oil) ổn định và sáp vi tinh thể 8120M cùng chất làm khô CF100. Nghiên cứu khảo sát ba mẫu nhũ với hàm lượng paraffin và glycerine khác nhau để đánh giá độ ổn định sau 48 giờ.</w:t>
      </w:r>
    </w:p>
    <w:p>
      <w:pPr>
        <w:spacing w:after="120" w:line="276" w:lineRule="auto"/>
      </w:pPr>
      <w:r>
        <w:rPr>
          <w:rFonts w:ascii="Arial" w:hAnsi="Arial"/>
          <w:color w:val="333333"/>
          <w:sz w:val="21"/>
        </w:rPr>
        <w:t>Kết quả thực nghiệm cho thấy mẫu C (chứa 38g paraffin và không chứa glycerine) đạt độ ổn định tuyệt đối sau 48 giờ lưu trữ, không xuất hiện hiện tượng phân tách pha, màng dầu sau khi lau trên gỗ khô mịn và kháng nước rất tốt. Mẫu B (chứa 18g glycerine và không có paraffin) xuất hiện sự phân tách nhẹ ở đáy cốc do glycerine hấp thụ nước và làm mất cân bằng hệ liên kết. Mẫu A (chứa 29g paraffin và 9g glycerine) bị tách thành 3 lớp rõ rệt chỉ sau 24 giờ do sự mất cân đối nghiêm trọng về trị số HLB (Hydrophilic-Lipophilic Balance) của hệ chất nhũ hóa. Hệ nhũ tương O/W ngược lại sử dụng nước làm pha liên tục, giúp giảm hàm lượng VOC xuống gần bằng 0, dễ dàng vệ sinh công cụ bằng nước sạch.</w:t>
      </w:r>
    </w:p>
    <w:p>
      <w:pPr>
        <w:keepNext/>
        <w:spacing w:before="240" w:after="80"/>
      </w:pPr>
      <w:r>
        <w:rPr>
          <w:rFonts w:ascii="Arial" w:hAnsi="Arial"/>
          <w:b/>
          <w:color w:val="7F6000"/>
          <w:sz w:val="24"/>
        </w:rPr>
        <w:t>3.2. So sánh đặc tính ứng dụng trên bề mặt gỗ</w:t>
      </w:r>
    </w:p>
    <w:p>
      <w:pPr>
        <w:spacing w:after="120" w:line="276" w:lineRule="auto"/>
      </w:pPr>
      <w:r>
        <w:rPr>
          <w:rFonts w:ascii="Arial" w:hAnsi="Arial"/>
          <w:color w:val="333333"/>
          <w:sz w:val="21"/>
        </w:rPr>
        <w:t>Mỗi hệ nhũ tương mang lại những đặc tính ứng dụng và hiệu ứng thẩm mỹ khác nhau trên bề mặt gỗ thông và gỗ sồi. Hệ nhũ O/W (hệ nước) có ưu thế tuyệt đối về thời gian khô (chỉ từ 3 đến 4 giờ) do nước bay hơi nhanh hơn dung môi nặng, đồng thời khả năng thấm rút vào các mao quản gỗ diễn ra rất nhanh. Tuy nhiên, do pha liên tục là nước, hệ nhũ O/W làm trương nở các sợi cellulose trên bề mặt gỗ, gây ra hiện tượng xù ghim gỗ (grain raising) nghiêm trọng, đòi hỏi phải xả nhám bổ sung sau lớp lót. Hơn nữa, độ phân cực cao của hệ nước dễ làm hòa tan các chất trích ly (extractives) trong gỗ sồi, gây ố vàng và làm tối màu gỗ tự nhiên.</w:t>
      </w:r>
    </w:p>
    <w:p>
      <w:pPr>
        <w:spacing w:after="120" w:line="276" w:lineRule="auto"/>
      </w:pPr>
      <w:r>
        <w:rPr>
          <w:rFonts w:ascii="Arial" w:hAnsi="Arial"/>
          <w:color w:val="333333"/>
          <w:sz w:val="21"/>
        </w:rPr>
        <w:t>Ngược lại, hệ nhũ W/O (hệ dầu) có thời gian khô chậm hơn một chút (~4 đến 5 giờ) nhưng nhờ pha liên tục là dầu, các giọt nước phân tán không thể tiếp xúc trực tiếp để làm trương nở sợi gỗ, do đó hạn chế tối đa hiện tượng xù ghim, bề mặt gỗ sau lau cực kỳ mịn màng và láng tay. Hệ W/O cũng giúp tôn lên vân gỗ sâu mà không làm thay đổi tông màu tự nhiên của gỗ (không bị ngả vàng đậm như O/W). Do đó, hệ nhũ W/O sử dụng dầu nền M2005 kết hợp sáp được đánh giá là sản phẩm thương mại có tính khả thi cao nhất cho phân khúc bảo quản gỗ cao cấp.</w:t>
      </w:r>
    </w:p>
    <w:p>
      <w:pPr>
        <w:keepNext/>
        <w:spacing w:before="360" w:after="120"/>
      </w:pPr>
      <w:r>
        <w:rPr>
          <w:rFonts w:ascii="Arial" w:hAnsi="Arial"/>
          <w:b/>
          <w:color w:val="1F4E79"/>
          <w:sz w:val="28"/>
        </w:rPr>
        <w:t>CHƯƠNG IV: CÔNG NGHỆ DẦU SÁP CỨNG (HARDWAX OIL) VÀ DẦU HAI THÀNH PHẦN (2K OIL)</w:t>
      </w:r>
    </w:p>
    <w:p>
      <w:pPr>
        <w:keepNext/>
        <w:spacing w:before="240" w:after="80"/>
      </w:pPr>
      <w:r>
        <w:rPr>
          <w:rFonts w:ascii="Arial" w:hAnsi="Arial"/>
          <w:b/>
          <w:color w:val="7F6000"/>
          <w:sz w:val="24"/>
        </w:rPr>
        <w:t>4.1. Công thức dầu sáp cứng Hardwax Oil tối ưu hóa</w:t>
      </w:r>
    </w:p>
    <w:p>
      <w:pPr>
        <w:spacing w:after="120" w:line="276" w:lineRule="auto"/>
      </w:pPr>
      <w:r>
        <w:rPr>
          <w:rFonts w:ascii="Arial" w:hAnsi="Arial"/>
          <w:color w:val="333333"/>
          <w:sz w:val="21"/>
        </w:rPr>
        <w:t>Dầu sáp cứng (Hardwax Oil) là dòng sản phẩm kết hợp giữa khả năng thẩm thấu sâu của dầu thực vật và khả năng bảo vệ bề mặt ưu việt của sáp tự nhiên. Nhóm R&amp;D đã nghiên cứu các tổ hợp dung môi và hàm lượng sáp khác nhau trên nền hỗn hợp dầu lanh RLO và dầu trẩu TO để tìm ra công thức Hardwax 3005 tối ưu. Công thức M2 được phát triển dựa trên tỷ lệ RLO 60g, TO 20g, sáp vi tinh thể 8120M 3g, dầu paraffin 16g, dung môi dibasic ester (DBE) 8g, propylene glycol monomethyl ether (PM) 48g và các chất làm khô thích hợp. Sáp 8120M đóng vai trò tạo độ trơn láng, tăng độ cứng màng và chống trầy xước nhẹ.</w:t>
      </w:r>
    </w:p>
    <w:p>
      <w:pPr>
        <w:spacing w:after="120" w:line="276" w:lineRule="auto"/>
      </w:pPr>
      <w:r>
        <w:rPr>
          <w:rFonts w:ascii="Arial" w:hAnsi="Arial"/>
          <w:color w:val="333333"/>
          <w:sz w:val="21"/>
        </w:rPr>
        <w:t>Thử nghiệm so sánh mẫu M2 (sử dụng hỗn hợp dung môi DBE và PM) với mẫu M1 (sử dụng dung môi paraffin và Solvesso A100) và mẫu M3 (tăng hàm lượng sáp lên 4%) mang lại những kết luận quan trọng. Mẫu M1 cho dung dịch đặc sệt, đục và rất khó lau do độ hòa tan của sáp trong A100 kém. Mẫu M3 khô nhanh hơn (8 giờ) nhờ sáp hàm lượng cao nhưng màng dầu bị đục, che mờ thớ gỗ và bề mặt bị xù ghim nhẹ do thiếu dung môi điều hòa độ thấm. Mẫu M2 sử dụng PM làm dung môi chính giúp hòa tan hoàn toàn sáp 8120M tạo dung dịch lỏng, trong suốt, rất dễ thi công lau, thấm rút cực sâu vào gỗ và khô mặt sau 16 giờ. Bề mặt gỗ sau khi hoàn thiện đạt độ mờ tự nhiên, láng mịn tuyệt đối và hoàn toàn không bị ố nước khi thử nghiệm nhỏ giọt.</w:t>
      </w:r>
    </w:p>
    <w:p>
      <w:pPr>
        <w:keepNext/>
        <w:spacing w:before="240" w:after="80"/>
      </w:pPr>
      <w:r>
        <w:rPr>
          <w:rFonts w:ascii="Arial" w:hAnsi="Arial"/>
          <w:b/>
          <w:color w:val="7F6000"/>
          <w:sz w:val="24"/>
        </w:rPr>
        <w:t>4.2. Phản ứng Glycerolysis chế tạo dầu 2K phân khúc cao cấp</w:t>
      </w:r>
    </w:p>
    <w:p>
      <w:pPr>
        <w:spacing w:after="120" w:line="276" w:lineRule="auto"/>
      </w:pPr>
      <w:r>
        <w:rPr>
          <w:rFonts w:ascii="Arial" w:hAnsi="Arial"/>
          <w:color w:val="333333"/>
          <w:sz w:val="21"/>
        </w:rPr>
        <w:t>Để đáp ứng phân khúc yêu cầu màng sơn có độ cứng cao, khô nhanh và kháng hóa chất mạnh mẽ tương đương sơn PU truyền thống nhưng vẫn giữ được hàm lượng sinh học cao, công nghệ dầu 2K phản ứng liên kết ngang urethane đã được khảo sát. Quy trình bắt đầu bằng phản ứng glycerolysis (chuyển đổi ester hóa) giữa dầu lanh RLO và glycerine tinh khiết ở nhiệt độ cao (200-220°C) với chất xúc tác kiềm để chuyển đổi các triglyceride thành các monoglyceride và diglyceride chứa nhiều nhóm hydroxyl (-OH tự do) hoạt tính. Sản phẩm thu được là một polyol sinh học có độ phân cực cao.</w:t>
      </w:r>
    </w:p>
    <w:p>
      <w:pPr>
        <w:spacing w:after="120" w:line="276" w:lineRule="auto"/>
      </w:pPr>
      <w:r>
        <w:rPr>
          <w:rFonts w:ascii="Arial" w:hAnsi="Arial"/>
          <w:color w:val="333333"/>
          <w:sz w:val="21"/>
        </w:rPr>
        <w:t>Thí nghiệm nghiên cứu ảnh hưởng của hàm lượng glycerine (2%, 4% và 6%) đối với độ nhớt phản ứng và độ ổn định của polyol. Tại tỷ lệ 2% và 4% glycerine, sản phẩm có độ nhớt rất cao, màu nâu đen đậm và có mùi khét mạnh do phản ứng trùng hợp phụ xảy ra. Khi phối trộn với polyisocyanate đóng rắn HI100, hệ bị gel hóa quá nhanh (pot life ngắn dưới 30 phút) và màng sơn bị giòn. Mẫu polyol sử dụng 6% glycerine đạt độ lỏng ổn định, màu nâu sáng, thời gian phản ứng este hóa kéo dài 3 giờ đạt hiệu suất chuyển đổi nhóm -OH tối đa. Khi trộn với đóng rắn HI100 theo tỷ lệ NCO/OH phù hợp, dầu 2K cho thời gian khô mặt dưới 12 giờ, màng dầu có độ bóng nhẹ, khả năng chống trầy xước vượt trội và không bị ảnh hưởng bởi cồn 90 độ hay các hóa chất tẩy rửa thông thường.</w:t>
      </w:r>
    </w:p>
    <w:p>
      <w:pPr>
        <w:keepNext/>
        <w:spacing w:before="360" w:after="120"/>
      </w:pPr>
      <w:r>
        <w:rPr>
          <w:rFonts w:ascii="Arial" w:hAnsi="Arial"/>
          <w:b/>
          <w:color w:val="1F4E79"/>
          <w:sz w:val="28"/>
        </w:rPr>
        <w:t>CHƯƠNG V: CÔNG NGHỆ CHẤT PHỦ DẦU ĐÓNG RẮN BẰNG TIA CỰC TÍM (UV OIL)</w:t>
      </w:r>
    </w:p>
    <w:p>
      <w:pPr>
        <w:keepNext/>
        <w:spacing w:before="240" w:after="80"/>
      </w:pPr>
      <w:r>
        <w:rPr>
          <w:rFonts w:ascii="Arial" w:hAnsi="Arial"/>
          <w:b/>
          <w:color w:val="7F6000"/>
          <w:sz w:val="24"/>
        </w:rPr>
        <w:t>5.1. Acrylate hóa dầu thực vật và cơ chế đóng rắn quang học</w:t>
      </w:r>
    </w:p>
    <w:p>
      <w:pPr>
        <w:spacing w:after="120" w:line="276" w:lineRule="auto"/>
      </w:pPr>
      <w:r>
        <w:rPr>
          <w:rFonts w:ascii="Arial" w:hAnsi="Arial"/>
          <w:color w:val="333333"/>
          <w:sz w:val="21"/>
        </w:rPr>
        <w:t>Công nghệ đóng rắn bằng tia cực tím (UV curing) mang lại năng suất sản xuất cực cao cho các nhà máy chế biến gỗ nhờ tốc độ đóng rắn tính bằng giây. Nhóm nghiên cứu đã thử nghiệm acrylate hóa dầu nền malein hóa thông qua phản ứng este hóa giữa nhóm anhydride vòng mở và nhóm hydroxyl của 2-Hydroxyethyl Acrylate (2-HEA) ở nhiệt độ 80°C. Phản ứng này gắn các nhóm acrylic hoạt tính (liên kết đôi C=C nhạy quang) vào cấu trúc mạch dầu lanh. Khi kết hợp với chất khơi mào quang học (photoinitiator) thích hợp, màng dầu sẽ nhanh chóng tham gia phản ứng trùng hợp gốc tự do dưới tác động của bức xạ UV phát ra từ đèn thủy ngân hoặc đèn LED UV.</w:t>
      </w:r>
    </w:p>
    <w:p>
      <w:pPr>
        <w:keepNext/>
        <w:spacing w:before="240" w:after="80"/>
      </w:pPr>
      <w:r>
        <w:rPr>
          <w:rFonts w:ascii="Arial" w:hAnsi="Arial"/>
          <w:b/>
          <w:color w:val="7F6000"/>
          <w:sz w:val="24"/>
        </w:rPr>
        <w:t>5.2. Kết quả đánh giá hệ MATR UV so với RLO UV</w:t>
      </w:r>
    </w:p>
    <w:p>
      <w:pPr>
        <w:spacing w:after="120" w:line="276" w:lineRule="auto"/>
      </w:pPr>
      <w:r>
        <w:rPr>
          <w:rFonts w:ascii="Arial" w:hAnsi="Arial"/>
          <w:color w:val="333333"/>
          <w:sz w:val="21"/>
        </w:rPr>
        <w:t>Nghiên cứu so sánh hai mẫu dầu nhạy quang: MATR UV (biến tính với 8% HEA) và RLO UV (biến tính với 4% HEA). Mẫu MATR UV (8% HEA) thể hiện tốc độ đóng rắn UV vượt trội, bề mặt khô hoàn toàn ngay sau khi đi qua băng chuyền đèn UV Led công suất trung bình. Tuy nhiên, nhược điểm lớn của MATR UV là màng sơn bị ngả vàng rất mạnh dưới tác động của nhiệt lượng và tia cực tím cường độ cao từ đèn UV, đồng thời độ thấm rút vào thớ gỗ kém do trọng lượng phân tử lớn tạo mạng lưới polyme bề mặt quá nhanh, mùi monomer acrylate còn lại khá nồng. Mẫu RLO UV (4% HEA) có mùi nhẹ hơn, khả năng thấm rút và tôn vân gỗ rất tốt, hầu như không bị ngả vàng gỗ sồi sau khi sấy. Mặc dù vậy, do mật độ nhóm acrylate thấp, màng RLO UV không thể khô mặt hoàn toàn dưới tia UV mà đòi hỏi một cơ chế đóng rắn kép (dual-cure): sấy UV để tạo liên kết gel ban đầu và để tự khô oxy hóa tự nhiên trong vòng 24 giờ tiếp theo. Hướng nghiên cứu này cần tiếp tục cải tiến chất khơi mào quang và tối ưu hóa mật độ liên kết acrylate để nâng cao hiệu năng.</w:t>
      </w:r>
    </w:p>
    <w:p>
      <w:pPr>
        <w:keepNext/>
        <w:spacing w:before="360" w:after="120"/>
      </w:pPr>
      <w:r>
        <w:rPr>
          <w:rFonts w:ascii="Arial" w:hAnsi="Arial"/>
          <w:b/>
          <w:color w:val="1F4E79"/>
          <w:sz w:val="28"/>
        </w:rPr>
        <w:t>CHƯƠNG VI: PHÁT HIỆN ĐỘT PHÁ VỀ QUY TRÌNH PHỐI HỢP RLO LÓT VÀ PHỦ MATR NGOÀI TRỜI</w:t>
      </w:r>
    </w:p>
    <w:p>
      <w:pPr>
        <w:keepNext/>
        <w:spacing w:before="240" w:after="80"/>
      </w:pPr>
      <w:r>
        <w:rPr>
          <w:rFonts w:ascii="Arial" w:hAnsi="Arial"/>
          <w:b/>
          <w:color w:val="7F6000"/>
          <w:sz w:val="24"/>
        </w:rPr>
        <w:t>6.1. Thiết kế quy trình thử nghiệm phơi thời tiết 30 ngày</w:t>
      </w:r>
    </w:p>
    <w:p>
      <w:pPr>
        <w:spacing w:after="120" w:line="276" w:lineRule="auto"/>
      </w:pPr>
      <w:r>
        <w:rPr>
          <w:rFonts w:ascii="Arial" w:hAnsi="Arial"/>
          <w:color w:val="333333"/>
          <w:sz w:val="21"/>
        </w:rPr>
        <w:t>Đây là kết quả nghiên cứu quan trọng nhất và mang tính thực tiễn cao nhất trong toàn bộ chương trình R&amp;D dầu thực vật tại BTChem. Nhận thấy các sản phẩm dầu lau ngoài trời đơn thành phần hiện tại (như OBT01N) có độ bền thời tiết kém, nhóm nghiên cứu đã thiết kế một hệ thử nghiệm phơi mẫu tự nhiên trong vòng 30 ngày dưới nắng mưa liên tục tại khu vực TP.HCM. Thử nghiệm so sánh 5 quy trình xử lý bề mặt gỗ thông: (1) Quy trình QTA: quét lót một lớp dầu lanh sống RLO, để khô 1 giờ rồi phủ một lớp dầu biến tính MATR gốc dầu kị nước; (2) Quy trình QTA1: quét lót RLO sống, để khô 1 giờ rồi phủ một lớp nhũ kị nước MATR WO (Water-in-Oil); (3) Quy trình QTA2: chỉ phủ hai lớp MATR WO mà không có lớp lót RLO; (4) Quy trình QTB: sử dụng hai lớp dầu OBT01N sản xuất hiện tại làm mẫu đối chứng; (5) Quy trình QTC: sơn hệ PU ngoài trời cao cấp làm mẫu đối chứng chất lượng cao.</w:t>
      </w:r>
    </w:p>
    <w:p>
      <w:pPr>
        <w:keepNext/>
        <w:spacing w:before="240" w:after="80"/>
      </w:pPr>
      <w:r>
        <w:rPr>
          <w:rFonts w:ascii="Arial" w:hAnsi="Arial"/>
          <w:b/>
          <w:color w:val="7F6000"/>
          <w:sz w:val="24"/>
        </w:rPr>
        <w:t>6.2. Phân tích kết quả phơi mẫu và cơ chế bảo vệ phối hợp</w:t>
      </w:r>
    </w:p>
    <w:p>
      <w:pPr>
        <w:spacing w:after="120" w:line="276" w:lineRule="auto"/>
      </w:pPr>
      <w:r>
        <w:rPr>
          <w:rFonts w:ascii="Arial" w:hAnsi="Arial"/>
          <w:color w:val="333333"/>
          <w:sz w:val="21"/>
        </w:rPr>
        <w:t>Diễn biến phơi mẫu thực tế mang lại những kết quả vô cùng ấn tượng. Sau 15 ngày, mẫu gỗ sử dụng dầu đối chứng OBT01N đã bị xám hóa bề mặt, sợi gỗ xù xì và nấm mốc đen phát triển mạnh mẽ dọc theo các thớ gỗ. Trong khi đó, các mẫu gỗ sử dụng quy trình QTA (RLO -&gt; MATR) và QTA1 (RLO -&gt; MATR WO) vẫn giữ màu gỗ vàng sáng, bề mặt láng mịn, hoàn toàn không xuất hiện nấm mốc hay nứt nẻ. Mẫu QTA2 (không có RLO lót) bắt đầu xuất hiện một vài vết nấm mốc nhỏ ở các vùng gỗ mềm. Sau 30 ngày phơi thời tiết khắc nghiệt, sự khác biệt trở nên cực kỳ rõ rệt. Mẫu gỗ OBT01N bị hủy hoại nặng nề: màu bạc xám hoàn toàn, bề mặt gỗ nứt sâu và tấm gỗ bị cong vênh mạnh do co ngót nước. Mẫu QTA2 tuy bề mặt vẫn còn bóng láng của sáp nhưng tấm gỗ đã bị cong vênh và nấm mốc ăn sâu vào thớ gỗ bên dưới. Trong khi đó, các tấm gỗ xử lý theo quy trình QTA và QTA1 vẫn giữ vững cấu trúc phẳng, màu sắc gỗ ấm áp tự nhiên chỉ bị nhạt đi rất ít, bề mặt nhẵn bóng, không hề bị nấm mốc tấn công và chỉ bị nứt dăm nhẹ ở hai đầu mặt cắt gỗ.</w:t>
      </w:r>
    </w:p>
    <w:p>
      <w:pPr>
        <w:spacing w:after="120" w:line="276" w:lineRule="auto"/>
      </w:pPr>
      <w:r>
        <w:rPr>
          <w:rFonts w:ascii="Arial" w:hAnsi="Arial"/>
          <w:color w:val="333333"/>
          <w:sz w:val="21"/>
        </w:rPr>
        <w:t>Cơ chế bảo vệ đột phá này được giải thích bởi sự phối hợp vật lý và hóa học hoàn hảo giữa hai lớp dầu. Lớp dầu lanh RLO sống quét lót ban đầu có độ nhớt cực thấp và kích thước phân tử nhỏ nên thẩm thấu rất sâu vào các ống dẫn và tế bào gỗ. Sau khi thấm sâu, dầu lanh tự oxy hóa chậm bên trong cấu trúc gỗ, tạo nên một mạng lưới polyme kị nước nội tại vững chắc. Lớp polyme đệm này ngăn chặn triệt để sự xâm nhập của hơi ẩm vào sâu trong gỗ, ổn định kích thước thớ gỗ và triệt tiêu động lực co giãn gây cong vênh. Tiếp theo, lớp phủ MATR hoặc MATR WO phía trên (vốn chứa dầu trẩu TO kháng nước mạnh, sáp chống UV và chất làm khô nhanh) đóng vai trò như một lớp lá chắn bề mặt vững chắc, ngăn chặn nước mưa trực tiếp cuốn trôi lớp dầu bên dưới và bảo vệ gỗ khỏi tác hại phá hủy lignin của tia cực tím. Sự thiếu vắng lớp lót RLO thấm sâu trong quy trình QTA2 khiến nước vẫn thẩm thấu được qua các khe hở vi mô, gây cong vênh gỗ và tạo điều kiện cho nấm mốc sinh sôi dưới màng phủ bề mặt.</w:t>
      </w:r>
    </w:p>
    <w:p>
      <w:pPr>
        <w:keepNext/>
        <w:spacing w:before="360" w:after="120"/>
      </w:pPr>
      <w:r>
        <w:rPr>
          <w:rFonts w:ascii="Arial" w:hAnsi="Arial"/>
          <w:b/>
          <w:color w:val="1F4E79"/>
          <w:sz w:val="28"/>
        </w:rPr>
        <w:t>CHƯƠNG VII: ĐỊNH HƯỚNG PHÁT TRIỂN VÀ THƯƠNG MẠI HÓA</w:t>
      </w:r>
    </w:p>
    <w:p>
      <w:pPr>
        <w:keepNext/>
        <w:spacing w:before="240" w:after="80"/>
      </w:pPr>
      <w:r>
        <w:rPr>
          <w:rFonts w:ascii="Arial" w:hAnsi="Arial"/>
          <w:b/>
          <w:color w:val="7F6000"/>
          <w:sz w:val="24"/>
        </w:rPr>
        <w:t>7.1. Lộ trình phát triển sản phẩm của BTChem</w:t>
      </w:r>
    </w:p>
    <w:p>
      <w:pPr>
        <w:spacing w:after="120" w:line="276" w:lineRule="auto"/>
      </w:pPr>
      <w:r>
        <w:rPr>
          <w:rFonts w:ascii="Arial" w:hAnsi="Arial"/>
          <w:color w:val="333333"/>
          <w:sz w:val="21"/>
        </w:rPr>
        <w:t>Từ những kết quả thực nghiệm đạt được, phòng R&amp;D BTChem đề xuất lộ trình thương mại hóa gồm 3 giai đoạn rõ rệt. Giai đoạn ngắn hạn tập trung hoàn thiện các dòng dầu lau nhũ tương W/O và O/W dựa trên dầu biến tính M2005 để tiếp cận phân khúc chất phủ bảo quản đồ gỗ nội thất sinh học với giá thành cạnh tranh trực tiếp với các dòng dầu lau nhập khẩu. Giai đoạn trung hạn tập trung thương mại hóa quy trình đột phá RLO -&gt; MATR và RLO -&gt; MATR WO cho các công trình gỗ ngoài trời quy mô lớn, tận dụng nguồn nguyên liệu dầu trẩu bản địa giá trị cao của Việt Nam để tạo ra sản phẩm nội địa chất lượng vượt trội. Giai đoạn dài hạn sẽ tiếp tục cải tiến công thức dầu sáp cứng Hardwax 3005 M2 và phát triển hệ dầu UV Oil thân thiện môi trường cho các dây chuyền sơn công nghiệp.</w:t>
      </w:r>
    </w:p>
    <w:p>
      <w:pPr>
        <w:spacing w:after="120" w:line="276" w:lineRule="auto"/>
      </w:pPr>
      <w:r>
        <w:rPr>
          <w:rFonts w:ascii="Arial" w:hAnsi="Arial"/>
          <w:color w:val="333333"/>
          <w:sz w:val="21"/>
        </w:rPr>
        <w:t>Nghiên cứu này không chỉ giải quyết bài toán nâng cao tuổi thọ của gỗ tự nhiên ngoài trời mà còn khẳng định khả năng tự chủ công nghệ R&amp;D của BTChem trong việc ứng dụng hóa học xanh nhằm kiến tạo nên những giải pháp bảo vệ vật liệu bền vững và thân thiện với con người.</w:t>
      </w:r>
    </w:p>
    <w:p>
      <w:pPr>
        <w:keepNext/>
        <w:spacing w:before="240" w:after="80"/>
      </w:pPr>
      <w:r>
        <w:rPr>
          <w:rFonts w:ascii="Arial" w:hAnsi="Arial"/>
          <w:b/>
          <w:color w:val="7F6000"/>
          <w:sz w:val="24"/>
        </w:rPr>
        <w:t>7.2. Bảng tổng hợp các dòng sản phẩm nghiên cứu</w:t>
      </w:r>
    </w:p>
    <w:tbl>
      <w:tblPr>
        <w:tblW w:type="auto" w:w="0"/>
        <w:tblLayout w:type="fixed"/>
        <w:tblLook w:firstColumn="1" w:firstRow="1" w:lastColumn="0" w:lastRow="0" w:noHBand="0" w:noVBand="1" w:val="04A0"/>
      </w:tblPr>
      <w:tblGrid>
        <w:gridCol w:w="1505"/>
        <w:gridCol w:w="1505"/>
        <w:gridCol w:w="1505"/>
        <w:gridCol w:w="1505"/>
        <w:gridCol w:w="1505"/>
        <w:gridCol w:w="1505"/>
      </w:tblGrid>
      <w:tr>
        <w:tc>
          <w:tcPr>
            <w:tcW w:type="dxa" w:w="1728"/>
            <w:shd w:fill="1F4E79"/>
            <w:tcMar>
              <w:top w:w="120" w:type="dxa"/>
              <w:bottom w:w="120" w:type="dxa"/>
              <w:left w:w="150" w:type="dxa"/>
              <w:right w:w="150" w:type="dxa"/>
            </w:tcMar>
          </w:tcPr>
          <w:p>
            <w:r>
              <w:rPr>
                <w:rFonts w:ascii="Arial" w:hAnsi="Arial"/>
                <w:b/>
                <w:color w:val="FFFFFF"/>
                <w:sz w:val="19"/>
              </w:rPr>
              <w:t>Sản phẩm</w:t>
            </w:r>
          </w:p>
        </w:tc>
        <w:tc>
          <w:tcPr>
            <w:tcW w:type="dxa" w:w="1728"/>
            <w:shd w:fill="1F4E79"/>
            <w:tcMar>
              <w:top w:w="120" w:type="dxa"/>
              <w:bottom w:w="120" w:type="dxa"/>
              <w:left w:w="150" w:type="dxa"/>
              <w:right w:w="150" w:type="dxa"/>
            </w:tcMar>
          </w:tcPr>
          <w:p>
            <w:r>
              <w:rPr>
                <w:rFonts w:ascii="Arial" w:hAnsi="Arial"/>
                <w:b/>
                <w:color w:val="FFFFFF"/>
                <w:sz w:val="19"/>
              </w:rPr>
              <w:t>Công nghệ</w:t>
            </w:r>
          </w:p>
        </w:tc>
        <w:tc>
          <w:tcPr>
            <w:tcW w:type="dxa" w:w="1296"/>
            <w:shd w:fill="1F4E79"/>
            <w:tcMar>
              <w:top w:w="120" w:type="dxa"/>
              <w:bottom w:w="120" w:type="dxa"/>
              <w:left w:w="150" w:type="dxa"/>
              <w:right w:w="150" w:type="dxa"/>
            </w:tcMar>
          </w:tcPr>
          <w:p>
            <w:r>
              <w:rPr>
                <w:rFonts w:ascii="Arial" w:hAnsi="Arial"/>
                <w:b/>
                <w:color w:val="FFFFFF"/>
                <w:sz w:val="19"/>
              </w:rPr>
              <w:t>Khô mặt</w:t>
            </w:r>
          </w:p>
        </w:tc>
        <w:tc>
          <w:tcPr>
            <w:tcW w:type="dxa" w:w="1440"/>
            <w:shd w:fill="1F4E79"/>
            <w:tcMar>
              <w:top w:w="120" w:type="dxa"/>
              <w:bottom w:w="120" w:type="dxa"/>
              <w:left w:w="150" w:type="dxa"/>
              <w:right w:w="150" w:type="dxa"/>
            </w:tcMar>
          </w:tcPr>
          <w:p>
            <w:r>
              <w:rPr>
                <w:rFonts w:ascii="Arial" w:hAnsi="Arial"/>
                <w:b/>
                <w:color w:val="FFFFFF"/>
                <w:sz w:val="19"/>
              </w:rPr>
              <w:t>Kháng nước</w:t>
            </w:r>
          </w:p>
        </w:tc>
        <w:tc>
          <w:tcPr>
            <w:tcW w:type="dxa" w:w="1296"/>
            <w:shd w:fill="1F4E79"/>
            <w:tcMar>
              <w:top w:w="120" w:type="dxa"/>
              <w:bottom w:w="120" w:type="dxa"/>
              <w:left w:w="150" w:type="dxa"/>
              <w:right w:w="150" w:type="dxa"/>
            </w:tcMar>
          </w:tcPr>
          <w:p>
            <w:r>
              <w:rPr>
                <w:rFonts w:ascii="Arial" w:hAnsi="Arial"/>
                <w:b/>
                <w:color w:val="FFFFFF"/>
                <w:sz w:val="19"/>
              </w:rPr>
              <w:t>Ngả vàng</w:t>
            </w:r>
          </w:p>
        </w:tc>
        <w:tc>
          <w:tcPr>
            <w:tcW w:type="dxa" w:w="1872"/>
            <w:shd w:fill="1F4E79"/>
            <w:tcMar>
              <w:top w:w="120" w:type="dxa"/>
              <w:bottom w:w="120" w:type="dxa"/>
              <w:left w:w="150" w:type="dxa"/>
              <w:right w:w="150" w:type="dxa"/>
            </w:tcMar>
          </w:tcPr>
          <w:p>
            <w:r>
              <w:rPr>
                <w:rFonts w:ascii="Arial" w:hAnsi="Arial"/>
                <w:b/>
                <w:color w:val="FFFFFF"/>
                <w:sz w:val="19"/>
              </w:rPr>
              <w:t>Đánh giá</w:t>
            </w:r>
          </w:p>
        </w:tc>
      </w:tr>
      <w:tr>
        <w:tc>
          <w:tcPr>
            <w:tcW w:type="dxa" w:w="1728"/>
            <w:shd w:fill="FFFFFF"/>
            <w:tcMar>
              <w:top w:w="100" w:type="dxa"/>
              <w:bottom w:w="100" w:type="dxa"/>
              <w:left w:w="150" w:type="dxa"/>
              <w:right w:w="150" w:type="dxa"/>
            </w:tcMar>
          </w:tcPr>
          <w:p>
            <w:r>
              <w:rPr>
                <w:rFonts w:ascii="Arial" w:hAnsi="Arial"/>
                <w:color w:val="333333"/>
                <w:sz w:val="18"/>
              </w:rPr>
              <w:t>M2005 (6%MA)</w:t>
            </w:r>
          </w:p>
        </w:tc>
        <w:tc>
          <w:tcPr>
            <w:tcW w:type="dxa" w:w="1728"/>
            <w:shd w:fill="FFFFFF"/>
            <w:tcMar>
              <w:top w:w="100" w:type="dxa"/>
              <w:bottom w:w="100" w:type="dxa"/>
              <w:left w:w="150" w:type="dxa"/>
              <w:right w:w="150" w:type="dxa"/>
            </w:tcMar>
          </w:tcPr>
          <w:p>
            <w:r>
              <w:rPr>
                <w:rFonts w:ascii="Arial" w:hAnsi="Arial"/>
                <w:color w:val="333333"/>
                <w:sz w:val="18"/>
              </w:rPr>
              <w:t>Malein hóa RLO</w:t>
            </w:r>
          </w:p>
        </w:tc>
        <w:tc>
          <w:tcPr>
            <w:tcW w:type="dxa" w:w="1296"/>
            <w:shd w:fill="FFFFFF"/>
            <w:tcMar>
              <w:top w:w="100" w:type="dxa"/>
              <w:bottom w:w="100" w:type="dxa"/>
              <w:left w:w="150" w:type="dxa"/>
              <w:right w:w="150" w:type="dxa"/>
            </w:tcMar>
          </w:tcPr>
          <w:p>
            <w:r>
              <w:rPr>
                <w:rFonts w:ascii="Arial" w:hAnsi="Arial"/>
                <w:color w:val="333333"/>
                <w:sz w:val="18"/>
              </w:rPr>
              <w:t>6 - 8h</w:t>
            </w:r>
          </w:p>
        </w:tc>
        <w:tc>
          <w:tcPr>
            <w:tcW w:type="dxa" w:w="1440"/>
            <w:shd w:fill="FFFFFF"/>
            <w:tcMar>
              <w:top w:w="100" w:type="dxa"/>
              <w:bottom w:w="100" w:type="dxa"/>
              <w:left w:w="150" w:type="dxa"/>
              <w:right w:w="150" w:type="dxa"/>
            </w:tcMar>
          </w:tcPr>
          <w:p>
            <w:r>
              <w:rPr>
                <w:rFonts w:ascii="Arial" w:hAnsi="Arial"/>
                <w:color w:val="333333"/>
                <w:sz w:val="18"/>
              </w:rPr>
              <w:t>Tốt</w:t>
            </w:r>
          </w:p>
        </w:tc>
        <w:tc>
          <w:tcPr>
            <w:tcW w:type="dxa" w:w="1296"/>
            <w:shd w:fill="FFFFFF"/>
            <w:tcMar>
              <w:top w:w="100" w:type="dxa"/>
              <w:bottom w:w="100" w:type="dxa"/>
              <w:left w:w="150" w:type="dxa"/>
              <w:right w:w="150" w:type="dxa"/>
            </w:tcMar>
          </w:tcPr>
          <w:p>
            <w:r>
              <w:rPr>
                <w:rFonts w:ascii="Arial" w:hAnsi="Arial"/>
                <w:color w:val="333333"/>
                <w:sz w:val="18"/>
              </w:rPr>
              <w:t>Ít</w:t>
            </w:r>
          </w:p>
        </w:tc>
        <w:tc>
          <w:tcPr>
            <w:tcW w:type="dxa" w:w="1872"/>
            <w:shd w:fill="FFFFFF"/>
            <w:tcMar>
              <w:top w:w="100" w:type="dxa"/>
              <w:bottom w:w="100" w:type="dxa"/>
              <w:left w:w="150" w:type="dxa"/>
              <w:right w:w="150" w:type="dxa"/>
            </w:tcMar>
          </w:tcPr>
          <w:p>
            <w:r>
              <w:rPr>
                <w:rFonts w:ascii="Arial" w:hAnsi="Arial"/>
                <w:color w:val="333333"/>
                <w:sz w:val="18"/>
              </w:rPr>
              <w:t>Đã hoàn thiện công thức</w:t>
            </w:r>
          </w:p>
        </w:tc>
      </w:tr>
      <w:tr>
        <w:tc>
          <w:tcPr>
            <w:tcW w:type="dxa" w:w="1728"/>
            <w:shd w:fill="F2F2F2"/>
            <w:tcMar>
              <w:top w:w="100" w:type="dxa"/>
              <w:bottom w:w="100" w:type="dxa"/>
              <w:left w:w="150" w:type="dxa"/>
              <w:right w:w="150" w:type="dxa"/>
            </w:tcMar>
          </w:tcPr>
          <w:p>
            <w:r>
              <w:rPr>
                <w:rFonts w:ascii="Arial" w:hAnsi="Arial"/>
                <w:color w:val="333333"/>
                <w:sz w:val="18"/>
              </w:rPr>
              <w:t>W/O Nhũ tương</w:t>
            </w:r>
          </w:p>
        </w:tc>
        <w:tc>
          <w:tcPr>
            <w:tcW w:type="dxa" w:w="1728"/>
            <w:shd w:fill="F2F2F2"/>
            <w:tcMar>
              <w:top w:w="100" w:type="dxa"/>
              <w:bottom w:w="100" w:type="dxa"/>
              <w:left w:w="150" w:type="dxa"/>
              <w:right w:w="150" w:type="dxa"/>
            </w:tcMar>
          </w:tcPr>
          <w:p>
            <w:r>
              <w:rPr>
                <w:rFonts w:ascii="Arial" w:hAnsi="Arial"/>
                <w:color w:val="333333"/>
                <w:sz w:val="18"/>
              </w:rPr>
              <w:t>M2005 + Parafin</w:t>
            </w:r>
          </w:p>
        </w:tc>
        <w:tc>
          <w:tcPr>
            <w:tcW w:type="dxa" w:w="1296"/>
            <w:shd w:fill="F2F2F2"/>
            <w:tcMar>
              <w:top w:w="100" w:type="dxa"/>
              <w:bottom w:w="100" w:type="dxa"/>
              <w:left w:w="150" w:type="dxa"/>
              <w:right w:w="150" w:type="dxa"/>
            </w:tcMar>
          </w:tcPr>
          <w:p>
            <w:r>
              <w:rPr>
                <w:rFonts w:ascii="Arial" w:hAnsi="Arial"/>
                <w:color w:val="333333"/>
                <w:sz w:val="18"/>
              </w:rPr>
              <w:t>4 - 5h</w:t>
            </w:r>
          </w:p>
        </w:tc>
        <w:tc>
          <w:tcPr>
            <w:tcW w:type="dxa" w:w="1440"/>
            <w:shd w:fill="F2F2F2"/>
            <w:tcMar>
              <w:top w:w="100" w:type="dxa"/>
              <w:bottom w:w="100" w:type="dxa"/>
              <w:left w:w="150" w:type="dxa"/>
              <w:right w:w="150" w:type="dxa"/>
            </w:tcMar>
          </w:tcPr>
          <w:p>
            <w:r>
              <w:rPr>
                <w:rFonts w:ascii="Arial" w:hAnsi="Arial"/>
                <w:color w:val="333333"/>
                <w:sz w:val="18"/>
              </w:rPr>
              <w:t>Rất tốt</w:t>
            </w:r>
          </w:p>
        </w:tc>
        <w:tc>
          <w:tcPr>
            <w:tcW w:type="dxa" w:w="1296"/>
            <w:shd w:fill="F2F2F2"/>
            <w:tcMar>
              <w:top w:w="100" w:type="dxa"/>
              <w:bottom w:w="100" w:type="dxa"/>
              <w:left w:w="150" w:type="dxa"/>
              <w:right w:w="150" w:type="dxa"/>
            </w:tcMar>
          </w:tcPr>
          <w:p>
            <w:r>
              <w:rPr>
                <w:rFonts w:ascii="Arial" w:hAnsi="Arial"/>
                <w:color w:val="333333"/>
                <w:sz w:val="18"/>
              </w:rPr>
              <w:t>Ít</w:t>
            </w:r>
          </w:p>
        </w:tc>
        <w:tc>
          <w:tcPr>
            <w:tcW w:type="dxa" w:w="1872"/>
            <w:shd w:fill="F2F2F2"/>
            <w:tcMar>
              <w:top w:w="100" w:type="dxa"/>
              <w:bottom w:w="100" w:type="dxa"/>
              <w:left w:w="150" w:type="dxa"/>
              <w:right w:w="150" w:type="dxa"/>
            </w:tcMar>
          </w:tcPr>
          <w:p>
            <w:r>
              <w:rPr>
                <w:rFonts w:ascii="Arial" w:hAnsi="Arial"/>
                <w:color w:val="333333"/>
                <w:sz w:val="18"/>
              </w:rPr>
              <w:t>Ổn định, không xù ghim</w:t>
            </w:r>
          </w:p>
        </w:tc>
      </w:tr>
      <w:tr>
        <w:tc>
          <w:tcPr>
            <w:tcW w:type="dxa" w:w="1728"/>
            <w:shd w:fill="FFFFFF"/>
            <w:tcMar>
              <w:top w:w="100" w:type="dxa"/>
              <w:bottom w:w="100" w:type="dxa"/>
              <w:left w:w="150" w:type="dxa"/>
              <w:right w:w="150" w:type="dxa"/>
            </w:tcMar>
          </w:tcPr>
          <w:p>
            <w:r>
              <w:rPr>
                <w:rFonts w:ascii="Arial" w:hAnsi="Arial"/>
                <w:color w:val="333333"/>
                <w:sz w:val="18"/>
              </w:rPr>
              <w:t>O/W Nhũ tương</w:t>
            </w:r>
          </w:p>
        </w:tc>
        <w:tc>
          <w:tcPr>
            <w:tcW w:type="dxa" w:w="1728"/>
            <w:shd w:fill="FFFFFF"/>
            <w:tcMar>
              <w:top w:w="100" w:type="dxa"/>
              <w:bottom w:w="100" w:type="dxa"/>
              <w:left w:w="150" w:type="dxa"/>
              <w:right w:w="150" w:type="dxa"/>
            </w:tcMar>
          </w:tcPr>
          <w:p>
            <w:r>
              <w:rPr>
                <w:rFonts w:ascii="Arial" w:hAnsi="Arial"/>
                <w:color w:val="333333"/>
                <w:sz w:val="18"/>
              </w:rPr>
              <w:t>M2005 Hệ nước</w:t>
            </w:r>
          </w:p>
        </w:tc>
        <w:tc>
          <w:tcPr>
            <w:tcW w:type="dxa" w:w="1296"/>
            <w:shd w:fill="FFFFFF"/>
            <w:tcMar>
              <w:top w:w="100" w:type="dxa"/>
              <w:bottom w:w="100" w:type="dxa"/>
              <w:left w:w="150" w:type="dxa"/>
              <w:right w:w="150" w:type="dxa"/>
            </w:tcMar>
          </w:tcPr>
          <w:p>
            <w:r>
              <w:rPr>
                <w:rFonts w:ascii="Arial" w:hAnsi="Arial"/>
                <w:color w:val="333333"/>
                <w:sz w:val="18"/>
              </w:rPr>
              <w:t>3 - 4h</w:t>
            </w:r>
          </w:p>
        </w:tc>
        <w:tc>
          <w:tcPr>
            <w:tcW w:type="dxa" w:w="1440"/>
            <w:shd w:fill="FFFFFF"/>
            <w:tcMar>
              <w:top w:w="100" w:type="dxa"/>
              <w:bottom w:w="100" w:type="dxa"/>
              <w:left w:w="150" w:type="dxa"/>
              <w:right w:w="150" w:type="dxa"/>
            </w:tcMar>
          </w:tcPr>
          <w:p>
            <w:r>
              <w:rPr>
                <w:rFonts w:ascii="Arial" w:hAnsi="Arial"/>
                <w:color w:val="333333"/>
                <w:sz w:val="18"/>
              </w:rPr>
              <w:t>Tốt</w:t>
            </w:r>
          </w:p>
        </w:tc>
        <w:tc>
          <w:tcPr>
            <w:tcW w:type="dxa" w:w="1296"/>
            <w:shd w:fill="FFFFFF"/>
            <w:tcMar>
              <w:top w:w="100" w:type="dxa"/>
              <w:bottom w:w="100" w:type="dxa"/>
              <w:left w:w="150" w:type="dxa"/>
              <w:right w:w="150" w:type="dxa"/>
            </w:tcMar>
          </w:tcPr>
          <w:p>
            <w:r>
              <w:rPr>
                <w:rFonts w:ascii="Arial" w:hAnsi="Arial"/>
                <w:color w:val="333333"/>
                <w:sz w:val="18"/>
              </w:rPr>
              <w:t>Nhiều</w:t>
            </w:r>
          </w:p>
        </w:tc>
        <w:tc>
          <w:tcPr>
            <w:tcW w:type="dxa" w:w="1872"/>
            <w:shd w:fill="FFFFFF"/>
            <w:tcMar>
              <w:top w:w="100" w:type="dxa"/>
              <w:bottom w:w="100" w:type="dxa"/>
              <w:left w:w="150" w:type="dxa"/>
              <w:right w:w="150" w:type="dxa"/>
            </w:tcMar>
          </w:tcPr>
          <w:p>
            <w:r>
              <w:rPr>
                <w:rFonts w:ascii="Arial" w:hAnsi="Arial"/>
                <w:color w:val="333333"/>
                <w:sz w:val="18"/>
              </w:rPr>
              <w:t>Thấm nhanh, hơi xù ghim</w:t>
            </w:r>
          </w:p>
        </w:tc>
      </w:tr>
      <w:tr>
        <w:tc>
          <w:tcPr>
            <w:tcW w:type="dxa" w:w="1728"/>
            <w:shd w:fill="F2F2F2"/>
            <w:tcMar>
              <w:top w:w="100" w:type="dxa"/>
              <w:bottom w:w="100" w:type="dxa"/>
              <w:left w:w="150" w:type="dxa"/>
              <w:right w:w="150" w:type="dxa"/>
            </w:tcMar>
          </w:tcPr>
          <w:p>
            <w:r>
              <w:rPr>
                <w:rFonts w:ascii="Arial" w:hAnsi="Arial"/>
                <w:color w:val="333333"/>
                <w:sz w:val="18"/>
              </w:rPr>
              <w:t>Hardwax M2</w:t>
            </w:r>
          </w:p>
        </w:tc>
        <w:tc>
          <w:tcPr>
            <w:tcW w:type="dxa" w:w="1728"/>
            <w:shd w:fill="F2F2F2"/>
            <w:tcMar>
              <w:top w:w="100" w:type="dxa"/>
              <w:bottom w:w="100" w:type="dxa"/>
              <w:left w:w="150" w:type="dxa"/>
              <w:right w:w="150" w:type="dxa"/>
            </w:tcMar>
          </w:tcPr>
          <w:p>
            <w:r>
              <w:rPr>
                <w:rFonts w:ascii="Arial" w:hAnsi="Arial"/>
                <w:color w:val="333333"/>
                <w:sz w:val="18"/>
              </w:rPr>
              <w:t>RLO + TO + Sáp M</w:t>
            </w:r>
          </w:p>
        </w:tc>
        <w:tc>
          <w:tcPr>
            <w:tcW w:type="dxa" w:w="1296"/>
            <w:shd w:fill="F2F2F2"/>
            <w:tcMar>
              <w:top w:w="100" w:type="dxa"/>
              <w:bottom w:w="100" w:type="dxa"/>
              <w:left w:w="150" w:type="dxa"/>
              <w:right w:w="150" w:type="dxa"/>
            </w:tcMar>
          </w:tcPr>
          <w:p>
            <w:r>
              <w:rPr>
                <w:rFonts w:ascii="Arial" w:hAnsi="Arial"/>
                <w:color w:val="333333"/>
                <w:sz w:val="18"/>
              </w:rPr>
              <w:t>16h</w:t>
            </w:r>
          </w:p>
        </w:tc>
        <w:tc>
          <w:tcPr>
            <w:tcW w:type="dxa" w:w="1440"/>
            <w:shd w:fill="F2F2F2"/>
            <w:tcMar>
              <w:top w:w="100" w:type="dxa"/>
              <w:bottom w:w="100" w:type="dxa"/>
              <w:left w:w="150" w:type="dxa"/>
              <w:right w:w="150" w:type="dxa"/>
            </w:tcMar>
          </w:tcPr>
          <w:p>
            <w:r>
              <w:rPr>
                <w:rFonts w:ascii="Arial" w:hAnsi="Arial"/>
                <w:color w:val="333333"/>
                <w:sz w:val="18"/>
              </w:rPr>
              <w:t>Rất tốt</w:t>
            </w:r>
          </w:p>
        </w:tc>
        <w:tc>
          <w:tcPr>
            <w:tcW w:type="dxa" w:w="1296"/>
            <w:shd w:fill="F2F2F2"/>
            <w:tcMar>
              <w:top w:w="100" w:type="dxa"/>
              <w:bottom w:w="100" w:type="dxa"/>
              <w:left w:w="150" w:type="dxa"/>
              <w:right w:w="150" w:type="dxa"/>
            </w:tcMar>
          </w:tcPr>
          <w:p>
            <w:r>
              <w:rPr>
                <w:rFonts w:ascii="Arial" w:hAnsi="Arial"/>
                <w:color w:val="333333"/>
                <w:sz w:val="18"/>
              </w:rPr>
              <w:t>Ít</w:t>
            </w:r>
          </w:p>
        </w:tc>
        <w:tc>
          <w:tcPr>
            <w:tcW w:type="dxa" w:w="1872"/>
            <w:shd w:fill="F2F2F2"/>
            <w:tcMar>
              <w:top w:w="100" w:type="dxa"/>
              <w:bottom w:w="100" w:type="dxa"/>
              <w:left w:w="150" w:type="dxa"/>
              <w:right w:w="150" w:type="dxa"/>
            </w:tcMar>
          </w:tcPr>
          <w:p>
            <w:r>
              <w:rPr>
                <w:rFonts w:ascii="Arial" w:hAnsi="Arial"/>
                <w:color w:val="333333"/>
                <w:sz w:val="18"/>
              </w:rPr>
              <w:t>Bề mặt trơn láng, tự nhiên</w:t>
            </w:r>
          </w:p>
        </w:tc>
      </w:tr>
      <w:tr>
        <w:tc>
          <w:tcPr>
            <w:tcW w:type="dxa" w:w="1728"/>
            <w:shd w:fill="FFFFFF"/>
            <w:tcMar>
              <w:top w:w="100" w:type="dxa"/>
              <w:bottom w:w="100" w:type="dxa"/>
              <w:left w:w="150" w:type="dxa"/>
              <w:right w:w="150" w:type="dxa"/>
            </w:tcMar>
          </w:tcPr>
          <w:p>
            <w:r>
              <w:rPr>
                <w:rFonts w:ascii="Arial" w:hAnsi="Arial"/>
                <w:color w:val="333333"/>
                <w:sz w:val="18"/>
              </w:rPr>
              <w:t>Dầu 2K Polyol</w:t>
            </w:r>
          </w:p>
        </w:tc>
        <w:tc>
          <w:tcPr>
            <w:tcW w:type="dxa" w:w="1728"/>
            <w:shd w:fill="FFFFFF"/>
            <w:tcMar>
              <w:top w:w="100" w:type="dxa"/>
              <w:bottom w:w="100" w:type="dxa"/>
              <w:left w:w="150" w:type="dxa"/>
              <w:right w:w="150" w:type="dxa"/>
            </w:tcMar>
          </w:tcPr>
          <w:p>
            <w:r>
              <w:rPr>
                <w:rFonts w:ascii="Arial" w:hAnsi="Arial"/>
                <w:color w:val="333333"/>
                <w:sz w:val="18"/>
              </w:rPr>
              <w:t>Glycerolysis + HI</w:t>
            </w:r>
          </w:p>
        </w:tc>
        <w:tc>
          <w:tcPr>
            <w:tcW w:type="dxa" w:w="1296"/>
            <w:shd w:fill="FFFFFF"/>
            <w:tcMar>
              <w:top w:w="100" w:type="dxa"/>
              <w:bottom w:w="100" w:type="dxa"/>
              <w:left w:w="150" w:type="dxa"/>
              <w:right w:w="150" w:type="dxa"/>
            </w:tcMar>
          </w:tcPr>
          <w:p>
            <w:r>
              <w:rPr>
                <w:rFonts w:ascii="Arial" w:hAnsi="Arial"/>
                <w:color w:val="333333"/>
                <w:sz w:val="18"/>
              </w:rPr>
              <w:t>&lt; 12h</w:t>
            </w:r>
          </w:p>
        </w:tc>
        <w:tc>
          <w:tcPr>
            <w:tcW w:type="dxa" w:w="1440"/>
            <w:shd w:fill="FFFFFF"/>
            <w:tcMar>
              <w:top w:w="100" w:type="dxa"/>
              <w:bottom w:w="100" w:type="dxa"/>
              <w:left w:w="150" w:type="dxa"/>
              <w:right w:w="150" w:type="dxa"/>
            </w:tcMar>
          </w:tcPr>
          <w:p>
            <w:r>
              <w:rPr>
                <w:rFonts w:ascii="Arial" w:hAnsi="Arial"/>
                <w:color w:val="333333"/>
                <w:sz w:val="18"/>
              </w:rPr>
              <w:t>Xuất sắc</w:t>
            </w:r>
          </w:p>
        </w:tc>
        <w:tc>
          <w:tcPr>
            <w:tcW w:type="dxa" w:w="1296"/>
            <w:shd w:fill="FFFFFF"/>
            <w:tcMar>
              <w:top w:w="100" w:type="dxa"/>
              <w:bottom w:w="100" w:type="dxa"/>
              <w:left w:w="150" w:type="dxa"/>
              <w:right w:w="150" w:type="dxa"/>
            </w:tcMar>
          </w:tcPr>
          <w:p>
            <w:r>
              <w:rPr>
                <w:rFonts w:ascii="Arial" w:hAnsi="Arial"/>
                <w:color w:val="333333"/>
                <w:sz w:val="18"/>
              </w:rPr>
              <w:t>Ít</w:t>
            </w:r>
          </w:p>
        </w:tc>
        <w:tc>
          <w:tcPr>
            <w:tcW w:type="dxa" w:w="1872"/>
            <w:shd w:fill="FFFFFF"/>
            <w:tcMar>
              <w:top w:w="100" w:type="dxa"/>
              <w:bottom w:w="100" w:type="dxa"/>
              <w:left w:w="150" w:type="dxa"/>
              <w:right w:w="150" w:type="dxa"/>
            </w:tcMar>
          </w:tcPr>
          <w:p>
            <w:r>
              <w:rPr>
                <w:rFonts w:ascii="Arial" w:hAnsi="Arial"/>
                <w:color w:val="333333"/>
                <w:sz w:val="18"/>
              </w:rPr>
              <w:t>Độ cứng cao, kháng hóa chất</w:t>
            </w:r>
          </w:p>
        </w:tc>
      </w:tr>
      <w:tr>
        <w:tc>
          <w:tcPr>
            <w:tcW w:type="dxa" w:w="1728"/>
            <w:shd w:fill="F2F2F2"/>
            <w:tcMar>
              <w:top w:w="100" w:type="dxa"/>
              <w:bottom w:w="100" w:type="dxa"/>
              <w:left w:w="150" w:type="dxa"/>
              <w:right w:w="150" w:type="dxa"/>
            </w:tcMar>
          </w:tcPr>
          <w:p>
            <w:r>
              <w:rPr>
                <w:rFonts w:ascii="Arial" w:hAnsi="Arial"/>
                <w:color w:val="333333"/>
                <w:sz w:val="18"/>
              </w:rPr>
              <w:t>RLO -&gt; MATR</w:t>
            </w:r>
          </w:p>
        </w:tc>
        <w:tc>
          <w:tcPr>
            <w:tcW w:type="dxa" w:w="1728"/>
            <w:shd w:fill="F2F2F2"/>
            <w:tcMar>
              <w:top w:w="100" w:type="dxa"/>
              <w:bottom w:w="100" w:type="dxa"/>
              <w:left w:w="150" w:type="dxa"/>
              <w:right w:w="150" w:type="dxa"/>
            </w:tcMar>
          </w:tcPr>
          <w:p>
            <w:r>
              <w:rPr>
                <w:rFonts w:ascii="Arial" w:hAnsi="Arial"/>
                <w:color w:val="333333"/>
                <w:sz w:val="18"/>
              </w:rPr>
              <w:t>Phối hợp lót + phủ</w:t>
            </w:r>
          </w:p>
        </w:tc>
        <w:tc>
          <w:tcPr>
            <w:tcW w:type="dxa" w:w="1296"/>
            <w:shd w:fill="F2F2F2"/>
            <w:tcMar>
              <w:top w:w="100" w:type="dxa"/>
              <w:bottom w:w="100" w:type="dxa"/>
              <w:left w:w="150" w:type="dxa"/>
              <w:right w:w="150" w:type="dxa"/>
            </w:tcMar>
          </w:tcPr>
          <w:p>
            <w:r>
              <w:rPr>
                <w:rFonts w:ascii="Arial" w:hAnsi="Arial"/>
                <w:color w:val="333333"/>
                <w:sz w:val="18"/>
              </w:rPr>
              <w:t>30 ngày phơi</w:t>
            </w:r>
          </w:p>
        </w:tc>
        <w:tc>
          <w:tcPr>
            <w:tcW w:type="dxa" w:w="1440"/>
            <w:shd w:fill="F2F2F2"/>
            <w:tcMar>
              <w:top w:w="100" w:type="dxa"/>
              <w:bottom w:w="100" w:type="dxa"/>
              <w:left w:w="150" w:type="dxa"/>
              <w:right w:w="150" w:type="dxa"/>
            </w:tcMar>
          </w:tcPr>
          <w:p>
            <w:r>
              <w:rPr>
                <w:rFonts w:ascii="Arial" w:hAnsi="Arial"/>
                <w:color w:val="333333"/>
                <w:sz w:val="18"/>
              </w:rPr>
              <w:t>Xuất sắc</w:t>
            </w:r>
          </w:p>
        </w:tc>
        <w:tc>
          <w:tcPr>
            <w:tcW w:type="dxa" w:w="1296"/>
            <w:shd w:fill="F2F2F2"/>
            <w:tcMar>
              <w:top w:w="100" w:type="dxa"/>
              <w:bottom w:w="100" w:type="dxa"/>
              <w:left w:w="150" w:type="dxa"/>
              <w:right w:w="150" w:type="dxa"/>
            </w:tcMar>
          </w:tcPr>
          <w:p>
            <w:r>
              <w:rPr>
                <w:rFonts w:ascii="Arial" w:hAnsi="Arial"/>
                <w:color w:val="333333"/>
                <w:sz w:val="18"/>
              </w:rPr>
              <w:t>Rất ít</w:t>
            </w:r>
          </w:p>
        </w:tc>
        <w:tc>
          <w:tcPr>
            <w:tcW w:type="dxa" w:w="1872"/>
            <w:shd w:fill="F2F2F2"/>
            <w:tcMar>
              <w:top w:w="100" w:type="dxa"/>
              <w:bottom w:w="100" w:type="dxa"/>
              <w:left w:w="150" w:type="dxa"/>
              <w:right w:w="150" w:type="dxa"/>
            </w:tcMar>
          </w:tcPr>
          <w:p>
            <w:r>
              <w:rPr>
                <w:rFonts w:ascii="Arial" w:hAnsi="Arial"/>
                <w:color w:val="333333"/>
                <w:sz w:val="18"/>
              </w:rPr>
              <w:t>Đột phá ngoài trời (khuyên dùng)</w:t>
            </w:r>
          </w:p>
        </w:tc>
      </w:tr>
    </w:tbl>
    <w:p>
      <w:pPr>
        <w:spacing w:after="240"/>
      </w:pPr>
    </w:p>
    <w:p>
      <w:pPr>
        <w:jc w:val="right"/>
      </w:pPr>
      <w:r>
        <w:rPr>
          <w:rFonts w:ascii="Arial" w:hAnsi="Arial"/>
          <w:i/>
          <w:color w:val="787878"/>
          <w:sz w:val="20"/>
        </w:rPr>
        <w:t>Báo cáo biên soạn bởi Trần Vũ Linh</w:t>
        <w:br/>
        <w:t>Trưởng nhóm R&amp;D Hóa thực vật - BTChem</w:t>
      </w:r>
    </w:p>
    <w:sectPr w:rsidR="00FC693F" w:rsidRPr="0006063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