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eastAsia="Times New Roman"/>
          <w:b w:val="0"/>
          <w:i/>
          <w:sz w:val="26"/>
        </w:rPr>
        <w:t>QUY ĐỊNH SỐ: …/2026/KT</w:t>
      </w:r>
    </w:p>
    <w:p>
      <w:pPr>
        <w:spacing w:after="80" w:line="312" w:lineRule="auto"/>
      </w:pPr>
      <w:r>
        <w:rPr>
          <w:rFonts w:ascii="Times New Roman" w:hAnsi="Times New Roman" w:eastAsia="Times New Roman"/>
          <w:b w:val="0"/>
          <w:i w:val="0"/>
          <w:sz w:val="26"/>
        </w:rPr>
      </w:r>
    </w:p>
    <w:p>
      <w:pPr>
        <w:spacing w:after="120"/>
        <w:jc w:val="left"/>
      </w:pPr>
      <w:r>
        <w:rPr>
          <w:rFonts w:ascii="Times New Roman" w:hAnsi="Times New Roman" w:eastAsia="Times New Roman"/>
          <w:b w:val="0"/>
          <w:i/>
          <w:sz w:val="24"/>
        </w:rPr>
        <w:t>Căn cứ Bộ Luật Lao động 2019;</w:t>
        <w:br/>
        <w:t>Căn cứ Luật Hóa chất 2007 và Nghị định 113/2017/NĐ-CP;</w:t>
        <w:br/>
        <w:t>Căn cứ Luật An toàn, Vệ sinh lao động 2015;</w:t>
        <w:br/>
        <w:t>Căn cứ Điều lệ Công ty và Quy chế tổ chức hoạt động của Phòng Kỹ thuật;</w:t>
      </w:r>
    </w:p>
    <w:p>
      <w:pPr>
        <w:spacing w:before="240" w:after="120"/>
        <w:jc w:val="center"/>
      </w:pPr>
      <w:r>
        <w:rPr>
          <w:rFonts w:ascii="Times New Roman" w:hAnsi="Times New Roman" w:eastAsia="Times New Roman"/>
          <w:b/>
          <w:i w:val="0"/>
          <w:sz w:val="32"/>
        </w:rPr>
        <w:t>QUY ĐỊNH</w:t>
      </w:r>
    </w:p>
    <w:p>
      <w:pPr>
        <w:spacing w:before="0" w:after="120"/>
        <w:jc w:val="center"/>
      </w:pPr>
      <w:r>
        <w:rPr>
          <w:rFonts w:ascii="Times New Roman" w:hAnsi="Times New Roman" w:eastAsia="Times New Roman"/>
          <w:b/>
          <w:i w:val="0"/>
          <w:sz w:val="28"/>
        </w:rPr>
        <w:t>CHỨC NĂNG, QUY TRÌNH PHỐI HỢP VÀ CHẾ ĐỘ BÁO CÁO</w:t>
        <w:br/>
        <w:t>CỦA NHÓM KỸ THUẬT GIÁM SÁT NHÀ MÁY</w:t>
      </w:r>
    </w:p>
    <w:p>
      <w:pPr>
        <w:spacing w:before="120" w:after="120"/>
      </w:pPr>
      <w:r>
        <w:rPr>
          <w:rFonts w:ascii="Times New Roman" w:hAnsi="Times New Roman" w:eastAsia="Times New Roman"/>
          <w:b w:val="0"/>
          <w:i w:val="0"/>
          <w:color w:val="B4B4B4"/>
          <w:sz w:val="20"/>
        </w:rPr>
        <w:t>────────────────────────────────────────────────────────────</w:t>
      </w:r>
    </w:p>
    <w:p>
      <w:pPr>
        <w:spacing w:before="280" w:after="120"/>
      </w:pPr>
      <w:r>
        <w:rPr>
          <w:rFonts w:ascii="Times New Roman" w:hAnsi="Times New Roman" w:eastAsia="Times New Roman"/>
          <w:b/>
          <w:i w:val="0"/>
          <w:sz w:val="28"/>
        </w:rPr>
        <w:t>Điều 1. Phạm vi điều chỉnh</w:t>
      </w:r>
    </w:p>
    <w:p>
      <w:pPr>
        <w:spacing w:after="80" w:line="312" w:lineRule="auto"/>
      </w:pPr>
      <w:r>
        <w:rPr>
          <w:rFonts w:ascii="Times New Roman" w:hAnsi="Times New Roman" w:eastAsia="Times New Roman"/>
          <w:b w:val="0"/>
          <w:i w:val="0"/>
          <w:sz w:val="26"/>
        </w:rPr>
        <w:t>Quy định này điều chỉnh chức năng, nhiệm vụ, quy trình phối hợp thông tin và chế độ báo cáo của Nhóm Kỹ thuật được phân công giám sát tại các nhà máy, xưởng sản xuất của đối tác/khách hàng.</w:t>
      </w:r>
    </w:p>
    <w:p>
      <w:pPr>
        <w:spacing w:before="280" w:after="120"/>
      </w:pPr>
      <w:r>
        <w:rPr>
          <w:rFonts w:ascii="Times New Roman" w:hAnsi="Times New Roman" w:eastAsia="Times New Roman"/>
          <w:b/>
          <w:i w:val="0"/>
          <w:sz w:val="28"/>
        </w:rPr>
        <w:t>Điều 2. Đối tượng áp dụng</w:t>
      </w:r>
    </w:p>
    <w:p>
      <w:pPr>
        <w:spacing w:after="80" w:line="312" w:lineRule="auto"/>
      </w:pPr>
      <w:r>
        <w:rPr>
          <w:rFonts w:ascii="Times New Roman" w:hAnsi="Times New Roman" w:eastAsia="Times New Roman"/>
          <w:b w:val="0"/>
          <w:i w:val="0"/>
          <w:sz w:val="26"/>
        </w:rPr>
        <w:t>Quy định này áp dụng cho toàn bộ nhân sự thuộc Nhóm Kỹ thuật thực địa, Quản lý Kỹ thuật (QLKT) và các bộ phận liên quan khi tham gia phối hợp giải quyết các vấn đề kỹ thuật tại hiện trường.</w:t>
      </w:r>
    </w:p>
    <w:p>
      <w:pPr>
        <w:spacing w:before="280" w:after="120"/>
      </w:pPr>
      <w:r>
        <w:rPr>
          <w:rFonts w:ascii="Times New Roman" w:hAnsi="Times New Roman" w:eastAsia="Times New Roman"/>
          <w:b/>
          <w:i w:val="0"/>
          <w:sz w:val="28"/>
        </w:rPr>
        <w:t>Điều 3. Giải thích từ ngữ</w:t>
      </w:r>
    </w:p>
    <w:p>
      <w:pPr>
        <w:spacing w:after="80" w:line="312" w:lineRule="auto"/>
        <w:ind w:left="283"/>
      </w:pPr>
      <w:r>
        <w:rPr>
          <w:rFonts w:ascii="Times New Roman" w:hAnsi="Times New Roman" w:eastAsia="Times New Roman"/>
          <w:b/>
          <w:i w:val="0"/>
          <w:sz w:val="26"/>
        </w:rPr>
        <w:t xml:space="preserve">Nhóm Kỹ thuật thực địa: </w:t>
      </w:r>
      <w:r>
        <w:rPr>
          <w:rFonts w:ascii="Times New Roman" w:hAnsi="Times New Roman" w:eastAsia="Times New Roman"/>
          <w:b w:val="0"/>
          <w:i w:val="0"/>
          <w:sz w:val="26"/>
        </w:rPr>
        <w:t>Các Kỹ sư, Kỹ thuật viên được phân công làm việc trực tiếp tại nhà máy đối tác/khách hàng.</w:t>
      </w:r>
    </w:p>
    <w:p>
      <w:pPr>
        <w:spacing w:after="80" w:line="312" w:lineRule="auto"/>
        <w:ind w:left="283"/>
      </w:pPr>
      <w:r>
        <w:rPr>
          <w:rFonts w:ascii="Times New Roman" w:hAnsi="Times New Roman" w:eastAsia="Times New Roman"/>
          <w:b/>
          <w:i w:val="0"/>
          <w:sz w:val="26"/>
        </w:rPr>
        <w:t xml:space="preserve">Quản lý Kỹ thuật (QLKT): </w:t>
      </w:r>
      <w:r>
        <w:rPr>
          <w:rFonts w:ascii="Times New Roman" w:hAnsi="Times New Roman" w:eastAsia="Times New Roman"/>
          <w:b w:val="0"/>
          <w:i w:val="0"/>
          <w:sz w:val="26"/>
        </w:rPr>
        <w:t>Cấp quản lý trực tiếp phụ trách chuyên môn của Nhóm Kỹ thuật thực địa.</w:t>
      </w:r>
    </w:p>
    <w:p>
      <w:pPr>
        <w:spacing w:after="80" w:line="312" w:lineRule="auto"/>
        <w:ind w:left="283"/>
      </w:pPr>
      <w:r>
        <w:rPr>
          <w:rFonts w:ascii="Times New Roman" w:hAnsi="Times New Roman" w:eastAsia="Times New Roman"/>
          <w:b/>
          <w:i w:val="0"/>
          <w:sz w:val="26"/>
        </w:rPr>
        <w:t xml:space="preserve">Sự cố Mức 1–4: </w:t>
      </w:r>
      <w:r>
        <w:rPr>
          <w:rFonts w:ascii="Times New Roman" w:hAnsi="Times New Roman" w:eastAsia="Times New Roman"/>
          <w:b w:val="0"/>
          <w:i w:val="0"/>
          <w:sz w:val="26"/>
        </w:rPr>
        <w:t>Phân loại theo ma trận ưu tiên tại Điều 6 của Quy định này.</w:t>
      </w:r>
    </w:p>
    <w:p>
      <w:pPr>
        <w:spacing w:after="80" w:line="312" w:lineRule="auto"/>
        <w:ind w:left="283"/>
      </w:pPr>
      <w:r>
        <w:rPr>
          <w:rFonts w:ascii="Times New Roman" w:hAnsi="Times New Roman" w:eastAsia="Times New Roman"/>
          <w:b/>
          <w:i w:val="0"/>
          <w:sz w:val="26"/>
        </w:rPr>
        <w:t xml:space="preserve">BGĐ: </w:t>
      </w:r>
      <w:r>
        <w:rPr>
          <w:rFonts w:ascii="Times New Roman" w:hAnsi="Times New Roman" w:eastAsia="Times New Roman"/>
          <w:b w:val="0"/>
          <w:i w:val="0"/>
          <w:sz w:val="26"/>
        </w:rPr>
        <w:t>Ban Giám đốc Công ty.</w:t>
      </w:r>
    </w:p>
    <w:p>
      <w:pPr>
        <w:spacing w:before="280" w:after="120"/>
      </w:pPr>
      <w:r>
        <w:rPr>
          <w:rFonts w:ascii="Times New Roman" w:hAnsi="Times New Roman" w:eastAsia="Times New Roman"/>
          <w:b/>
          <w:i w:val="0"/>
          <w:sz w:val="28"/>
        </w:rPr>
        <w:t>Điều 4. Nguyên tắc hoạt động</w:t>
      </w:r>
    </w:p>
    <w:p>
      <w:pPr>
        <w:spacing w:after="80" w:line="312" w:lineRule="auto"/>
      </w:pPr>
      <w:r>
        <w:rPr>
          <w:rFonts w:ascii="Times New Roman" w:hAnsi="Times New Roman" w:eastAsia="Times New Roman"/>
          <w:b w:val="0"/>
          <w:i w:val="0"/>
          <w:sz w:val="26"/>
        </w:rPr>
        <w:t>Nhóm Kỹ thuật thực địa vận hành dựa trên các nguyên tắc sau:</w:t>
      </w:r>
    </w:p>
    <w:p>
      <w:pPr>
        <w:spacing w:before="280" w:after="120"/>
      </w:pPr>
      <w:r>
        <w:rPr>
          <w:rFonts w:ascii="Times New Roman" w:hAnsi="Times New Roman" w:eastAsia="Times New Roman"/>
          <w:b/>
          <w:i w:val="0"/>
          <w:sz w:val="26"/>
        </w:rPr>
        <w:t>4.1. Nguyên tắc chủ động</w:t>
      </w:r>
    </w:p>
    <w:p>
      <w:pPr>
        <w:spacing w:after="80" w:line="312" w:lineRule="auto"/>
      </w:pPr>
      <w:r>
        <w:rPr>
          <w:rFonts w:ascii="Times New Roman" w:hAnsi="Times New Roman" w:eastAsia="Times New Roman"/>
          <w:b w:val="0"/>
          <w:i w:val="0"/>
          <w:sz w:val="26"/>
        </w:rPr>
        <w:t>Tự rà soát, phát hiện và đề xuất phương án giải quyết ngay khi phát hiện vướng mắc tại nhà máy, không chờ đợi phản ánh thụ động. Việc chủ động phải dựa trên checklist rà soát định kỳ do QLKT ban hành.</w:t>
      </w:r>
    </w:p>
    <w:p>
      <w:pPr>
        <w:spacing w:before="280" w:after="120"/>
      </w:pPr>
      <w:r>
        <w:rPr>
          <w:rFonts w:ascii="Times New Roman" w:hAnsi="Times New Roman" w:eastAsia="Times New Roman"/>
          <w:b/>
          <w:i w:val="0"/>
          <w:sz w:val="26"/>
        </w:rPr>
        <w:t>4.2. Nguyên tắc hỗ trợ thực tế</w:t>
      </w:r>
    </w:p>
    <w:p>
      <w:pPr>
        <w:spacing w:after="80" w:line="312" w:lineRule="auto"/>
      </w:pPr>
      <w:r>
        <w:rPr>
          <w:rFonts w:ascii="Times New Roman" w:hAnsi="Times New Roman" w:eastAsia="Times New Roman"/>
          <w:b w:val="0"/>
          <w:i w:val="0"/>
          <w:sz w:val="26"/>
        </w:rPr>
        <w:t>Chức năng chính là hỗ trợ, hành động cụ thể là trực tiếp tham gia giải quyết công việc thực tế tại hiện trường, không chỉ dừng ở giám sát lý thuyết hoặc đưa ra chỉ định bằng văn bản. Nhóm Kỹ thuật hỗ trợ nhà máy giải quyết vấn đề, KHÔNG làm thay công việc của nhà máy. Thời gian trực tiếp tham gia sản xuất không quá 30% thời gian làm việc để đảm bảo còn thời gian rà soát, phân tích và báo cáo.</w:t>
      </w:r>
    </w:p>
    <w:p>
      <w:pPr>
        <w:spacing w:before="280" w:after="120"/>
      </w:pPr>
      <w:r>
        <w:rPr>
          <w:rFonts w:ascii="Times New Roman" w:hAnsi="Times New Roman" w:eastAsia="Times New Roman"/>
          <w:b/>
          <w:i w:val="0"/>
          <w:sz w:val="26"/>
        </w:rPr>
        <w:t>4.3. Nguyên tắc an toàn và môi trường</w:t>
      </w:r>
    </w:p>
    <w:p>
      <w:pPr>
        <w:spacing w:after="80" w:line="312" w:lineRule="auto"/>
      </w:pPr>
      <w:r>
        <w:rPr>
          <w:rFonts w:ascii="Times New Roman" w:hAnsi="Times New Roman" w:eastAsia="Times New Roman"/>
          <w:b w:val="0"/>
          <w:i w:val="0"/>
          <w:sz w:val="26"/>
        </w:rPr>
        <w:t>Mọi hoạt động giám sát kỹ thuật phải tuân thủ nghiêm ngặt quy định về an toàn hóa chất, phòng cháy chữa cháy và bảo vệ môi trường của nhà máy và của Công ty. Khi phát hiện nguy cơ mất an toàn, Nhóm thực địa có quyền yêu cầu tạm dừng sản xuất và báo cáo khẩn cho QLKT và BGĐ trong vòng 30 phút.</w:t>
      </w:r>
    </w:p>
    <w:p>
      <w:pPr>
        <w:spacing w:before="280" w:after="120"/>
      </w:pPr>
      <w:r>
        <w:rPr>
          <w:rFonts w:ascii="Times New Roman" w:hAnsi="Times New Roman" w:eastAsia="Times New Roman"/>
          <w:b/>
          <w:i w:val="0"/>
          <w:sz w:val="26"/>
        </w:rPr>
        <w:t>4.4. Nguyên tắc bảo mật thông tin</w:t>
      </w:r>
    </w:p>
    <w:p>
      <w:pPr>
        <w:spacing w:after="80" w:line="312" w:lineRule="auto"/>
      </w:pPr>
      <w:r>
        <w:rPr>
          <w:rFonts w:ascii="Times New Roman" w:hAnsi="Times New Roman" w:eastAsia="Times New Roman"/>
          <w:b w:val="0"/>
          <w:i w:val="0"/>
          <w:sz w:val="26"/>
        </w:rPr>
        <w:t>Nhóm Kỹ thuật thực địa có trách nhiệm bảo mật tuyệt đối mọi thông tin liên quan đến quy trình sản xuất, công thức sản phẩm, dữ liệu khách hàng và đối tác tiếp cận được trong quá trình công tác.</w:t>
      </w:r>
    </w:p>
    <w:p>
      <w:pPr>
        <w:spacing w:before="280" w:after="120"/>
      </w:pPr>
      <w:r>
        <w:rPr>
          <w:rFonts w:ascii="Times New Roman" w:hAnsi="Times New Roman" w:eastAsia="Times New Roman"/>
          <w:b/>
          <w:i w:val="0"/>
          <w:sz w:val="28"/>
        </w:rPr>
        <w:t>Điều 5. Chức năng, nhiệm vụ và quyền hạn</w:t>
      </w:r>
    </w:p>
    <w:p>
      <w:pPr>
        <w:spacing w:before="280" w:after="120"/>
      </w:pPr>
      <w:r>
        <w:rPr>
          <w:rFonts w:ascii="Times New Roman" w:hAnsi="Times New Roman" w:eastAsia="Times New Roman"/>
          <w:b/>
          <w:i w:val="0"/>
          <w:sz w:val="26"/>
        </w:rPr>
        <w:t>5.1. Nhóm Kỹ thuật thực địa</w:t>
      </w:r>
    </w:p>
    <w:p>
      <w:pPr>
        <w:pStyle w:val="ListBullet"/>
        <w:spacing w:after="40" w:line="312" w:lineRule="auto"/>
      </w:pPr>
      <w:r>
        <w:rPr>
          <w:rFonts w:ascii="Times New Roman" w:hAnsi="Times New Roman" w:eastAsia="Times New Roman"/>
          <w:b w:val="0"/>
          <w:i w:val="0"/>
          <w:sz w:val="26"/>
        </w:rPr>
        <w:t>Thực hiện giám sát kỹ thuật thường xuyên tại nhà máy được phân công.</w:t>
      </w:r>
    </w:p>
    <w:p>
      <w:pPr>
        <w:pStyle w:val="ListBullet"/>
        <w:spacing w:after="40" w:line="312" w:lineRule="auto"/>
      </w:pPr>
      <w:r>
        <w:rPr>
          <w:rFonts w:ascii="Times New Roman" w:hAnsi="Times New Roman" w:eastAsia="Times New Roman"/>
          <w:b w:val="0"/>
          <w:i w:val="0"/>
          <w:sz w:val="26"/>
        </w:rPr>
        <w:t>Phát hiện, phân loại sự cố và xử lý các vấn đề trong thẩm quyền (Mức 1).</w:t>
      </w:r>
    </w:p>
    <w:p>
      <w:pPr>
        <w:pStyle w:val="ListBullet"/>
        <w:spacing w:after="40" w:line="312" w:lineRule="auto"/>
      </w:pPr>
      <w:r>
        <w:rPr>
          <w:rFonts w:ascii="Times New Roman" w:hAnsi="Times New Roman" w:eastAsia="Times New Roman"/>
          <w:b w:val="0"/>
          <w:i w:val="0"/>
          <w:sz w:val="26"/>
        </w:rPr>
        <w:t>Cập nhật ngay tiến độ và yêu cầu phát sinh cho QLKT theo đúng kênh và thời hạn quy định.</w:t>
      </w:r>
    </w:p>
    <w:p>
      <w:pPr>
        <w:pStyle w:val="ListBullet"/>
        <w:spacing w:after="40" w:line="312" w:lineRule="auto"/>
      </w:pPr>
      <w:r>
        <w:rPr>
          <w:rFonts w:ascii="Times New Roman" w:hAnsi="Times New Roman" w:eastAsia="Times New Roman"/>
          <w:b w:val="0"/>
          <w:i w:val="0"/>
          <w:sz w:val="26"/>
        </w:rPr>
        <w:t>Lập báo cáo định kỳ theo mẫu quy định và gửi đúng hạn.</w:t>
      </w:r>
    </w:p>
    <w:p>
      <w:pPr>
        <w:pStyle w:val="ListBullet"/>
        <w:spacing w:after="40" w:line="312" w:lineRule="auto"/>
      </w:pPr>
      <w:r>
        <w:rPr>
          <w:rFonts w:ascii="Times New Roman" w:hAnsi="Times New Roman" w:eastAsia="Times New Roman"/>
          <w:b w:val="0"/>
          <w:i w:val="0"/>
          <w:sz w:val="26"/>
        </w:rPr>
        <w:t>Được quyền yêu cầu hỗ trợ từ QLKT khi gặp vấn đề vượt thẩm quyền.</w:t>
      </w:r>
    </w:p>
    <w:p>
      <w:pPr>
        <w:pStyle w:val="ListBullet"/>
        <w:spacing w:after="40" w:line="312" w:lineRule="auto"/>
      </w:pPr>
      <w:r>
        <w:rPr>
          <w:rFonts w:ascii="Times New Roman" w:hAnsi="Times New Roman" w:eastAsia="Times New Roman"/>
          <w:b w:val="0"/>
          <w:i w:val="0"/>
          <w:sz w:val="26"/>
        </w:rPr>
        <w:t>Được hưởng phụ cấp công tác thực địa, bảo hiểm tai nạn lao động và các chế độ phúc lợi theo chính sách Công ty.</w:t>
      </w:r>
    </w:p>
    <w:p>
      <w:pPr>
        <w:spacing w:before="280" w:after="120"/>
      </w:pPr>
      <w:r>
        <w:rPr>
          <w:rFonts w:ascii="Times New Roman" w:hAnsi="Times New Roman" w:eastAsia="Times New Roman"/>
          <w:b/>
          <w:i w:val="0"/>
          <w:sz w:val="26"/>
        </w:rPr>
        <w:t>5.2. Quản lý Kỹ thuật (QLKT)</w:t>
      </w:r>
    </w:p>
    <w:p>
      <w:pPr>
        <w:pStyle w:val="ListBullet"/>
        <w:spacing w:after="40" w:line="312" w:lineRule="auto"/>
      </w:pPr>
      <w:r>
        <w:rPr>
          <w:rFonts w:ascii="Times New Roman" w:hAnsi="Times New Roman" w:eastAsia="Times New Roman"/>
          <w:b w:val="0"/>
          <w:i w:val="0"/>
          <w:sz w:val="26"/>
        </w:rPr>
        <w:t>Thẩm định chuyên môn và điều phối nguồn lực xử lý các vấn đề do Nhóm thực địa chuyển lên.</w:t>
      </w:r>
    </w:p>
    <w:p>
      <w:pPr>
        <w:pStyle w:val="ListBullet"/>
        <w:spacing w:after="40" w:line="312" w:lineRule="auto"/>
      </w:pPr>
      <w:r>
        <w:rPr>
          <w:rFonts w:ascii="Times New Roman" w:hAnsi="Times New Roman" w:eastAsia="Times New Roman"/>
          <w:b w:val="0"/>
          <w:i w:val="0"/>
          <w:sz w:val="26"/>
        </w:rPr>
        <w:t>Phản hồi Nhóm thực địa trong thời hạn quy định tại Ma trận ưu tiên (Điều 6).</w:t>
      </w:r>
    </w:p>
    <w:p>
      <w:pPr>
        <w:pStyle w:val="ListBullet"/>
        <w:spacing w:after="40" w:line="312" w:lineRule="auto"/>
      </w:pPr>
      <w:r>
        <w:rPr>
          <w:rFonts w:ascii="Times New Roman" w:hAnsi="Times New Roman" w:eastAsia="Times New Roman"/>
          <w:b w:val="0"/>
          <w:i w:val="0"/>
          <w:sz w:val="26"/>
        </w:rPr>
        <w:t>Trực tiếp can thiệp xử lý cùng nhóm thực địa khi phát sinh sự cố phức tạp (Mức 3–4).</w:t>
      </w:r>
    </w:p>
    <w:p>
      <w:pPr>
        <w:pStyle w:val="ListBullet"/>
        <w:spacing w:after="40" w:line="312" w:lineRule="auto"/>
      </w:pPr>
      <w:r>
        <w:rPr>
          <w:rFonts w:ascii="Times New Roman" w:hAnsi="Times New Roman" w:eastAsia="Times New Roman"/>
          <w:b w:val="0"/>
          <w:i w:val="0"/>
          <w:sz w:val="26"/>
        </w:rPr>
        <w:t>Ban hành checklist rà soát và hướng dẫn chuyên môn cho Nhóm thực địa.</w:t>
      </w:r>
    </w:p>
    <w:p>
      <w:pPr>
        <w:pStyle w:val="ListBullet"/>
        <w:spacing w:after="40" w:line="312" w:lineRule="auto"/>
      </w:pPr>
      <w:r>
        <w:rPr>
          <w:rFonts w:ascii="Times New Roman" w:hAnsi="Times New Roman" w:eastAsia="Times New Roman"/>
          <w:b w:val="0"/>
          <w:i w:val="0"/>
          <w:sz w:val="26"/>
        </w:rPr>
        <w:t>Tổng hợp và trình BGĐ báo cáo định kỳ hoặc đột xuất theo yêu cầu.</w:t>
      </w:r>
    </w:p>
    <w:p>
      <w:pPr>
        <w:spacing w:before="280" w:after="120"/>
      </w:pPr>
      <w:r>
        <w:rPr>
          <w:rFonts w:ascii="Times New Roman" w:hAnsi="Times New Roman" w:eastAsia="Times New Roman"/>
          <w:b/>
          <w:i w:val="0"/>
          <w:sz w:val="26"/>
        </w:rPr>
        <w:t>5.3. Ban Giám đốc (BGĐ)</w:t>
      </w:r>
    </w:p>
    <w:p>
      <w:pPr>
        <w:pStyle w:val="ListBullet"/>
        <w:spacing w:after="40" w:line="312" w:lineRule="auto"/>
      </w:pPr>
      <w:r>
        <w:rPr>
          <w:rFonts w:ascii="Times New Roman" w:hAnsi="Times New Roman" w:eastAsia="Times New Roman"/>
          <w:b w:val="0"/>
          <w:i w:val="0"/>
          <w:sz w:val="26"/>
        </w:rPr>
        <w:t>Phê duyệt các phương án xử lý sự cố Mức 3–4.</w:t>
      </w:r>
    </w:p>
    <w:p>
      <w:pPr>
        <w:pStyle w:val="ListBullet"/>
        <w:spacing w:after="40" w:line="312" w:lineRule="auto"/>
      </w:pPr>
      <w:r>
        <w:rPr>
          <w:rFonts w:ascii="Times New Roman" w:hAnsi="Times New Roman" w:eastAsia="Times New Roman"/>
          <w:b w:val="0"/>
          <w:i w:val="0"/>
          <w:sz w:val="26"/>
        </w:rPr>
        <w:t>Đánh giá hiệu quả giám sát thông qua các báo cáo định kỳ.</w:t>
      </w:r>
    </w:p>
    <w:p>
      <w:pPr>
        <w:pStyle w:val="ListBullet"/>
        <w:spacing w:after="40" w:line="312" w:lineRule="auto"/>
      </w:pPr>
      <w:r>
        <w:rPr>
          <w:rFonts w:ascii="Times New Roman" w:hAnsi="Times New Roman" w:eastAsia="Times New Roman"/>
          <w:b w:val="0"/>
          <w:i w:val="0"/>
          <w:sz w:val="26"/>
        </w:rPr>
        <w:t>Tham gia luân phiên các chuyến thực địa (ít nhất 01 lần/quý) để nắm bắt trực tiếp tình hình.</w:t>
      </w:r>
    </w:p>
    <w:p>
      <w:pPr>
        <w:spacing w:before="280" w:after="120"/>
      </w:pPr>
      <w:r>
        <w:rPr>
          <w:rFonts w:ascii="Times New Roman" w:hAnsi="Times New Roman" w:eastAsia="Times New Roman"/>
          <w:b/>
          <w:i w:val="0"/>
          <w:sz w:val="28"/>
        </w:rPr>
        <w:t>Điều 6. Quy trình phối hợp</w:t>
      </w:r>
    </w:p>
    <w:p>
      <w:pPr>
        <w:spacing w:before="280" w:after="120"/>
      </w:pPr>
      <w:r>
        <w:rPr>
          <w:rFonts w:ascii="Times New Roman" w:hAnsi="Times New Roman" w:eastAsia="Times New Roman"/>
          <w:b/>
          <w:i w:val="0"/>
          <w:sz w:val="26"/>
        </w:rPr>
        <w:t>6.1. Ma trận phân loại sự cố và mức ưu tiên</w:t>
      </w:r>
    </w:p>
    <w:p>
      <w:pPr>
        <w:spacing w:after="80" w:line="312" w:lineRule="auto"/>
      </w:pPr>
      <w:r>
        <w:rPr>
          <w:rFonts w:ascii="Times New Roman" w:hAnsi="Times New Roman" w:eastAsia="Times New Roman"/>
          <w:b w:val="0"/>
          <w:i w:val="0"/>
          <w:sz w:val="26"/>
        </w:rPr>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rFonts w:ascii="Times New Roman" w:hAnsi="Times New Roman" w:eastAsia="Times New Roman"/>
                <w:b/>
                <w:i w:val="0"/>
                <w:sz w:val="22"/>
              </w:rPr>
              <w:t>Mức</w:t>
            </w:r>
          </w:p>
        </w:tc>
        <w:tc>
          <w:tcPr>
            <w:tcW w:type="dxa" w:w="1881"/>
          </w:tcPr>
          <w:p>
            <w:pPr>
              <w:jc w:val="center"/>
            </w:pPr>
            <w:r/>
            <w:r>
              <w:rPr>
                <w:rFonts w:ascii="Times New Roman" w:hAnsi="Times New Roman" w:eastAsia="Times New Roman"/>
                <w:b/>
                <w:i w:val="0"/>
                <w:sz w:val="22"/>
              </w:rPr>
              <w:t>Loại sự cố</w:t>
            </w:r>
          </w:p>
        </w:tc>
        <w:tc>
          <w:tcPr>
            <w:tcW w:type="dxa" w:w="1881"/>
          </w:tcPr>
          <w:p>
            <w:pPr>
              <w:jc w:val="center"/>
            </w:pPr>
            <w:r/>
            <w:r>
              <w:rPr>
                <w:rFonts w:ascii="Times New Roman" w:hAnsi="Times New Roman" w:eastAsia="Times New Roman"/>
                <w:b/>
                <w:i w:val="0"/>
                <w:sz w:val="22"/>
              </w:rPr>
              <w:t>Thẩm quyền xử lý</w:t>
            </w:r>
          </w:p>
        </w:tc>
        <w:tc>
          <w:tcPr>
            <w:tcW w:type="dxa" w:w="1881"/>
          </w:tcPr>
          <w:p>
            <w:pPr>
              <w:jc w:val="center"/>
            </w:pPr>
            <w:r/>
            <w:r>
              <w:rPr>
                <w:rFonts w:ascii="Times New Roman" w:hAnsi="Times New Roman" w:eastAsia="Times New Roman"/>
                <w:b/>
                <w:i w:val="0"/>
                <w:sz w:val="22"/>
              </w:rPr>
              <w:t>Thời hạn báo cáo</w:t>
            </w:r>
          </w:p>
        </w:tc>
        <w:tc>
          <w:tcPr>
            <w:tcW w:type="dxa" w:w="1881"/>
          </w:tcPr>
          <w:p>
            <w:pPr>
              <w:jc w:val="center"/>
            </w:pPr>
            <w:r/>
            <w:r>
              <w:rPr>
                <w:rFonts w:ascii="Times New Roman" w:hAnsi="Times New Roman" w:eastAsia="Times New Roman"/>
                <w:b/>
                <w:i w:val="0"/>
                <w:sz w:val="22"/>
              </w:rPr>
              <w:t>Thời hạn phản hồi</w:t>
            </w:r>
          </w:p>
        </w:tc>
      </w:tr>
      <w:tr>
        <w:tc>
          <w:tcPr>
            <w:tcW w:type="dxa" w:w="1881"/>
          </w:tcPr>
          <w:p>
            <w:r/>
            <w:r>
              <w:rPr>
                <w:rFonts w:ascii="Times New Roman" w:hAnsi="Times New Roman" w:eastAsia="Times New Roman"/>
                <w:b w:val="0"/>
                <w:i w:val="0"/>
                <w:sz w:val="22"/>
              </w:rPr>
              <w:t>Mức 1</w:t>
              <w:br/>
              <w:t>(Thường)</w:t>
            </w:r>
          </w:p>
        </w:tc>
        <w:tc>
          <w:tcPr>
            <w:tcW w:type="dxa" w:w="1881"/>
          </w:tcPr>
          <w:p>
            <w:r/>
            <w:r>
              <w:rPr>
                <w:rFonts w:ascii="Times New Roman" w:hAnsi="Times New Roman" w:eastAsia="Times New Roman"/>
                <w:b w:val="0"/>
                <w:i w:val="0"/>
                <w:sz w:val="22"/>
              </w:rPr>
              <w:t>Vận hành thông thường,</w:t>
              <w:br/>
              <w:t>sai số nhỏ trong quy trình</w:t>
            </w:r>
          </w:p>
        </w:tc>
        <w:tc>
          <w:tcPr>
            <w:tcW w:type="dxa" w:w="1881"/>
          </w:tcPr>
          <w:p>
            <w:r/>
            <w:r>
              <w:rPr>
                <w:rFonts w:ascii="Times New Roman" w:hAnsi="Times New Roman" w:eastAsia="Times New Roman"/>
                <w:b w:val="0"/>
                <w:i w:val="0"/>
                <w:sz w:val="22"/>
              </w:rPr>
              <w:t>Nhóm KT thực địa</w:t>
            </w:r>
          </w:p>
        </w:tc>
        <w:tc>
          <w:tcPr>
            <w:tcW w:type="dxa" w:w="1881"/>
          </w:tcPr>
          <w:p>
            <w:r/>
            <w:r>
              <w:rPr>
                <w:rFonts w:ascii="Times New Roman" w:hAnsi="Times New Roman" w:eastAsia="Times New Roman"/>
                <w:b w:val="0"/>
                <w:i w:val="0"/>
                <w:sz w:val="22"/>
              </w:rPr>
              <w:t>Báo cáo cuối ca</w:t>
            </w:r>
          </w:p>
        </w:tc>
        <w:tc>
          <w:tcPr>
            <w:tcW w:type="dxa" w:w="1881"/>
          </w:tcPr>
          <w:p>
            <w:r/>
            <w:r>
              <w:rPr>
                <w:rFonts w:ascii="Times New Roman" w:hAnsi="Times New Roman" w:eastAsia="Times New Roman"/>
                <w:b w:val="0"/>
                <w:i w:val="0"/>
                <w:sz w:val="22"/>
              </w:rPr>
              <w:t>Không yêu cầu</w:t>
            </w:r>
          </w:p>
        </w:tc>
      </w:tr>
      <w:tr>
        <w:tc>
          <w:tcPr>
            <w:tcW w:type="dxa" w:w="1881"/>
          </w:tcPr>
          <w:p>
            <w:r/>
            <w:r>
              <w:rPr>
                <w:rFonts w:ascii="Times New Roman" w:hAnsi="Times New Roman" w:eastAsia="Times New Roman"/>
                <w:b w:val="0"/>
                <w:i w:val="0"/>
                <w:sz w:val="22"/>
              </w:rPr>
              <w:t>Mức 2</w:t>
              <w:br/>
              <w:t>(Cao)</w:t>
            </w:r>
          </w:p>
        </w:tc>
        <w:tc>
          <w:tcPr>
            <w:tcW w:type="dxa" w:w="1881"/>
          </w:tcPr>
          <w:p>
            <w:r/>
            <w:r>
              <w:rPr>
                <w:rFonts w:ascii="Times New Roman" w:hAnsi="Times New Roman" w:eastAsia="Times New Roman"/>
                <w:b w:val="0"/>
                <w:i w:val="0"/>
                <w:sz w:val="22"/>
              </w:rPr>
              <w:t>Sai lệch quy trình,</w:t>
              <w:br/>
              <w:t>chất lượng nguyên liệu</w:t>
            </w:r>
          </w:p>
        </w:tc>
        <w:tc>
          <w:tcPr>
            <w:tcW w:type="dxa" w:w="1881"/>
          </w:tcPr>
          <w:p>
            <w:r/>
            <w:r>
              <w:rPr>
                <w:rFonts w:ascii="Times New Roman" w:hAnsi="Times New Roman" w:eastAsia="Times New Roman"/>
                <w:b w:val="0"/>
                <w:i w:val="0"/>
                <w:sz w:val="22"/>
              </w:rPr>
              <w:t>QLKT</w:t>
            </w:r>
          </w:p>
        </w:tc>
        <w:tc>
          <w:tcPr>
            <w:tcW w:type="dxa" w:w="1881"/>
          </w:tcPr>
          <w:p>
            <w:r/>
            <w:r>
              <w:rPr>
                <w:rFonts w:ascii="Times New Roman" w:hAnsi="Times New Roman" w:eastAsia="Times New Roman"/>
                <w:b w:val="0"/>
                <w:i w:val="0"/>
                <w:sz w:val="22"/>
              </w:rPr>
              <w:t>Trong 2 giờ</w:t>
            </w:r>
          </w:p>
        </w:tc>
        <w:tc>
          <w:tcPr>
            <w:tcW w:type="dxa" w:w="1881"/>
          </w:tcPr>
          <w:p>
            <w:r/>
            <w:r>
              <w:rPr>
                <w:rFonts w:ascii="Times New Roman" w:hAnsi="Times New Roman" w:eastAsia="Times New Roman"/>
                <w:b w:val="0"/>
                <w:i w:val="0"/>
                <w:sz w:val="22"/>
              </w:rPr>
              <w:t>Trong 4 giờ</w:t>
            </w:r>
          </w:p>
        </w:tc>
      </w:tr>
      <w:tr>
        <w:tc>
          <w:tcPr>
            <w:tcW w:type="dxa" w:w="1881"/>
          </w:tcPr>
          <w:p>
            <w:r/>
            <w:r>
              <w:rPr>
                <w:rFonts w:ascii="Times New Roman" w:hAnsi="Times New Roman" w:eastAsia="Times New Roman"/>
                <w:b w:val="0"/>
                <w:i w:val="0"/>
                <w:sz w:val="22"/>
              </w:rPr>
              <w:t>Mức 3</w:t>
              <w:br/>
              <w:t>(Nghiêm trọng)</w:t>
            </w:r>
          </w:p>
        </w:tc>
        <w:tc>
          <w:tcPr>
            <w:tcW w:type="dxa" w:w="1881"/>
          </w:tcPr>
          <w:p>
            <w:r/>
            <w:r>
              <w:rPr>
                <w:rFonts w:ascii="Times New Roman" w:hAnsi="Times New Roman" w:eastAsia="Times New Roman"/>
                <w:b w:val="0"/>
                <w:i w:val="0"/>
                <w:sz w:val="22"/>
              </w:rPr>
              <w:t>Thay đổi công nghệ,</w:t>
              <w:br/>
              <w:t>sự cố an toàn, khiếu nại lớn của KH</w:t>
            </w:r>
          </w:p>
        </w:tc>
        <w:tc>
          <w:tcPr>
            <w:tcW w:type="dxa" w:w="1881"/>
          </w:tcPr>
          <w:p>
            <w:r/>
            <w:r>
              <w:rPr>
                <w:rFonts w:ascii="Times New Roman" w:hAnsi="Times New Roman" w:eastAsia="Times New Roman"/>
                <w:b w:val="0"/>
                <w:i w:val="0"/>
                <w:sz w:val="22"/>
              </w:rPr>
              <w:t>QLKT + BGĐ</w:t>
            </w:r>
          </w:p>
        </w:tc>
        <w:tc>
          <w:tcPr>
            <w:tcW w:type="dxa" w:w="1881"/>
          </w:tcPr>
          <w:p>
            <w:r/>
            <w:r>
              <w:rPr>
                <w:rFonts w:ascii="Times New Roman" w:hAnsi="Times New Roman" w:eastAsia="Times New Roman"/>
                <w:b w:val="0"/>
                <w:i w:val="0"/>
                <w:sz w:val="22"/>
              </w:rPr>
              <w:t>Trong 30 phút</w:t>
            </w:r>
          </w:p>
        </w:tc>
        <w:tc>
          <w:tcPr>
            <w:tcW w:type="dxa" w:w="1881"/>
          </w:tcPr>
          <w:p>
            <w:r/>
            <w:r>
              <w:rPr>
                <w:rFonts w:ascii="Times New Roman" w:hAnsi="Times New Roman" w:eastAsia="Times New Roman"/>
                <w:b w:val="0"/>
                <w:i w:val="0"/>
                <w:sz w:val="22"/>
              </w:rPr>
              <w:t>Trong 2 giờ</w:t>
            </w:r>
          </w:p>
        </w:tc>
      </w:tr>
      <w:tr>
        <w:tc>
          <w:tcPr>
            <w:tcW w:type="dxa" w:w="1881"/>
          </w:tcPr>
          <w:p>
            <w:r/>
            <w:r>
              <w:rPr>
                <w:rFonts w:ascii="Times New Roman" w:hAnsi="Times New Roman" w:eastAsia="Times New Roman"/>
                <w:b w:val="0"/>
                <w:i w:val="0"/>
                <w:sz w:val="22"/>
              </w:rPr>
              <w:t>Mức 4</w:t>
              <w:br/>
              <w:t>(Khẩn cấp)</w:t>
            </w:r>
          </w:p>
        </w:tc>
        <w:tc>
          <w:tcPr>
            <w:tcW w:type="dxa" w:w="1881"/>
          </w:tcPr>
          <w:p>
            <w:r/>
            <w:r>
              <w:rPr>
                <w:rFonts w:ascii="Times New Roman" w:hAnsi="Times New Roman" w:eastAsia="Times New Roman"/>
                <w:b w:val="0"/>
                <w:i w:val="0"/>
                <w:sz w:val="22"/>
              </w:rPr>
              <w:t>Cháy nổ, rò rỉ hóa chất,</w:t>
              <w:br/>
              <w:t>tai nạn lao động</w:t>
            </w:r>
          </w:p>
        </w:tc>
        <w:tc>
          <w:tcPr>
            <w:tcW w:type="dxa" w:w="1881"/>
          </w:tcPr>
          <w:p>
            <w:r/>
            <w:r>
              <w:rPr>
                <w:rFonts w:ascii="Times New Roman" w:hAnsi="Times New Roman" w:eastAsia="Times New Roman"/>
                <w:b w:val="0"/>
                <w:i w:val="0"/>
                <w:sz w:val="22"/>
              </w:rPr>
              <w:t>BGĐ + PCCC</w:t>
            </w:r>
          </w:p>
        </w:tc>
        <w:tc>
          <w:tcPr>
            <w:tcW w:type="dxa" w:w="1881"/>
          </w:tcPr>
          <w:p>
            <w:r/>
            <w:r>
              <w:rPr>
                <w:rFonts w:ascii="Times New Roman" w:hAnsi="Times New Roman" w:eastAsia="Times New Roman"/>
                <w:b w:val="0"/>
                <w:i w:val="0"/>
                <w:sz w:val="22"/>
              </w:rPr>
              <w:t>Ngay lập tức</w:t>
              <w:br/>
              <w:t>(≤15 phút)</w:t>
            </w:r>
          </w:p>
        </w:tc>
        <w:tc>
          <w:tcPr>
            <w:tcW w:type="dxa" w:w="1881"/>
          </w:tcPr>
          <w:p>
            <w:r/>
            <w:r>
              <w:rPr>
                <w:rFonts w:ascii="Times New Roman" w:hAnsi="Times New Roman" w:eastAsia="Times New Roman"/>
                <w:b w:val="0"/>
                <w:i w:val="0"/>
                <w:sz w:val="22"/>
              </w:rPr>
              <w:t>Ngay lập tức</w:t>
            </w:r>
          </w:p>
        </w:tc>
      </w:tr>
    </w:tbl>
    <w:p/>
    <w:p>
      <w:pPr>
        <w:spacing w:before="280" w:after="120"/>
      </w:pPr>
      <w:r>
        <w:rPr>
          <w:rFonts w:ascii="Times New Roman" w:hAnsi="Times New Roman" w:eastAsia="Times New Roman"/>
          <w:b/>
          <w:i w:val="0"/>
          <w:sz w:val="26"/>
        </w:rPr>
        <w:t>6.2. Kênh thông tin</w:t>
      </w:r>
    </w:p>
    <w:p>
      <w:pPr>
        <w:spacing w:after="80" w:line="312" w:lineRule="auto"/>
      </w:pPr>
      <w:r>
        <w:rPr>
          <w:rFonts w:ascii="Times New Roman" w:hAnsi="Times New Roman" w:eastAsia="Times New Roman"/>
          <w:b w:val="0"/>
          <w:i w:val="0"/>
          <w:sz w:val="26"/>
        </w:rPr>
        <w:t>Kênh thông tin chính thức giữa Nhóm thực địa và QLKT được thực hiện qua:</w:t>
      </w:r>
    </w:p>
    <w:p>
      <w:pPr>
        <w:pStyle w:val="ListBullet"/>
        <w:spacing w:after="40" w:line="312" w:lineRule="auto"/>
      </w:pPr>
      <w:r>
        <w:rPr>
          <w:rFonts w:ascii="Times New Roman" w:hAnsi="Times New Roman" w:eastAsia="Times New Roman"/>
          <w:b w:val="0"/>
          <w:i w:val="0"/>
          <w:sz w:val="26"/>
        </w:rPr>
        <w:t>Hệ thống quản lý công việc (phần mềm/ticket) — đối với báo cáo Mức 1–2.</w:t>
      </w:r>
    </w:p>
    <w:p>
      <w:pPr>
        <w:pStyle w:val="ListBullet"/>
        <w:spacing w:after="40" w:line="312" w:lineRule="auto"/>
      </w:pPr>
      <w:r>
        <w:rPr>
          <w:rFonts w:ascii="Times New Roman" w:hAnsi="Times New Roman" w:eastAsia="Times New Roman"/>
          <w:b w:val="0"/>
          <w:i w:val="0"/>
          <w:sz w:val="26"/>
        </w:rPr>
        <w:t>Điện thoại / Zalo / Teams — đối với báo cáo Mức 3–4.</w:t>
      </w:r>
    </w:p>
    <w:p>
      <w:pPr>
        <w:pStyle w:val="ListBullet"/>
        <w:spacing w:after="40" w:line="312" w:lineRule="auto"/>
      </w:pPr>
      <w:r>
        <w:rPr>
          <w:rFonts w:ascii="Times New Roman" w:hAnsi="Times New Roman" w:eastAsia="Times New Roman"/>
          <w:b w:val="0"/>
          <w:i w:val="0"/>
          <w:sz w:val="26"/>
        </w:rPr>
        <w:t>Email — đối với báo cáo định kỳ và văn bản chính thức.</w:t>
      </w:r>
    </w:p>
    <w:p>
      <w:pPr>
        <w:spacing w:before="280" w:after="120"/>
      </w:pPr>
      <w:r>
        <w:rPr>
          <w:rFonts w:ascii="Times New Roman" w:hAnsi="Times New Roman" w:eastAsia="Times New Roman"/>
          <w:b/>
          <w:i w:val="0"/>
          <w:sz w:val="26"/>
        </w:rPr>
        <w:t>6.3. Nguyên tắc báo cáo (Báo cáo theo thứ bậc)</w:t>
      </w:r>
    </w:p>
    <w:p>
      <w:pPr>
        <w:spacing w:after="80" w:line="312" w:lineRule="auto"/>
      </w:pPr>
      <w:r>
        <w:rPr>
          <w:rFonts w:ascii="Times New Roman" w:hAnsi="Times New Roman" w:eastAsia="Times New Roman"/>
          <w:b w:val="0"/>
          <w:i w:val="0"/>
          <w:sz w:val="26"/>
        </w:rPr>
        <w:t>Nhóm thực địa báo cáo trước cho QLKT. Trong trường hợp QLKT không phản hồi trong thời hạn quy định hoặc sự cố thuộc Mức 3–4, Nhóm thực địa được quyền báo cáo trực tiếp lên BGĐ. QLKT có trách nhiệm thông tin lại cho BGĐ nếu sự cố được leo thang.</w:t>
      </w:r>
    </w:p>
    <w:p>
      <w:pPr>
        <w:spacing w:before="280" w:after="120"/>
      </w:pPr>
      <w:r>
        <w:rPr>
          <w:rFonts w:ascii="Times New Roman" w:hAnsi="Times New Roman" w:eastAsia="Times New Roman"/>
          <w:b/>
          <w:i w:val="0"/>
          <w:sz w:val="28"/>
        </w:rPr>
        <w:t>Điều 7. Chế độ báo cáo</w:t>
      </w:r>
    </w:p>
    <w:p>
      <w:pPr>
        <w:spacing w:before="280" w:after="120"/>
      </w:pPr>
      <w:r>
        <w:rPr>
          <w:rFonts w:ascii="Times New Roman" w:hAnsi="Times New Roman" w:eastAsia="Times New Roman"/>
          <w:b/>
          <w:i w:val="0"/>
          <w:sz w:val="26"/>
        </w:rPr>
        <w:t>7.1. Báo cáo định kỳ</w:t>
      </w:r>
    </w:p>
    <w:p>
      <w:pPr>
        <w:spacing w:after="80" w:line="312" w:lineRule="auto"/>
      </w:pPr>
      <w:r>
        <w:rPr>
          <w:rFonts w:ascii="Times New Roman" w:hAnsi="Times New Roman" w:eastAsia="Times New Roman"/>
          <w:b w:val="0"/>
          <w:i w:val="0"/>
          <w:sz w:val="26"/>
        </w:rPr>
        <w:t>Nhóm Kỹ thuật có trách nhiệm gửi báo cáo định kỳ lên BGĐ (thông qua QLKT). Tần suất: hàng tuần, nộp trước 17h00 thứ Sáu. Nội dung báo cáo bao gồm 03 phần trọng tâm sau:</w:t>
      </w:r>
    </w:p>
    <w:p>
      <w:pPr>
        <w:spacing w:after="80" w:line="312" w:lineRule="auto"/>
        <w:ind w:left="283"/>
      </w:pPr>
      <w:r>
        <w:rPr>
          <w:rFonts w:ascii="Times New Roman" w:hAnsi="Times New Roman" w:eastAsia="Times New Roman"/>
          <w:b/>
          <w:i w:val="0"/>
          <w:sz w:val="26"/>
        </w:rPr>
        <w:t xml:space="preserve">1. Ý kiến và yêu cầu của Khách hàng (KH): </w:t>
      </w:r>
      <w:r>
        <w:rPr>
          <w:rFonts w:ascii="Times New Roman" w:hAnsi="Times New Roman" w:eastAsia="Times New Roman"/>
          <w:b w:val="0"/>
          <w:i w:val="0"/>
          <w:sz w:val="26"/>
        </w:rPr>
        <w:t>Ghi nhận chi tiết, phân loại cụ thể các đề xuất của nhà máy/đối tác (phát triển mẫu mới, duyệt mẫu, quy trình kiểm tra, chất lượng hóa chất/dung môi/màng sơn, hoặc các tiêu chuẩn đặc biệt khác).</w:t>
      </w:r>
    </w:p>
    <w:p>
      <w:pPr>
        <w:spacing w:after="80" w:line="312" w:lineRule="auto"/>
        <w:ind w:left="283"/>
      </w:pPr>
      <w:r>
        <w:rPr>
          <w:rFonts w:ascii="Times New Roman" w:hAnsi="Times New Roman" w:eastAsia="Times New Roman"/>
          <w:b/>
          <w:i w:val="0"/>
          <w:sz w:val="26"/>
        </w:rPr>
        <w:t xml:space="preserve">2. Thông tin và trạng thái xử lý: </w:t>
      </w:r>
      <w:r>
        <w:rPr>
          <w:rFonts w:ascii="Times New Roman" w:hAnsi="Times New Roman" w:eastAsia="Times New Roman"/>
          <w:b w:val="0"/>
          <w:i w:val="0"/>
          <w:sz w:val="26"/>
        </w:rPr>
        <w:t>Xác nhận luồng thông tin: các yêu cầu của KH đã được chuyển đến đúng QLKT phụ trách; cập nhật phương án và trạng thái giải quyết của từng hạng mục.</w:t>
      </w:r>
    </w:p>
    <w:p>
      <w:pPr>
        <w:spacing w:after="80" w:line="312" w:lineRule="auto"/>
        <w:ind w:left="283"/>
      </w:pPr>
      <w:r>
        <w:rPr>
          <w:rFonts w:ascii="Times New Roman" w:hAnsi="Times New Roman" w:eastAsia="Times New Roman"/>
          <w:b/>
          <w:i w:val="0"/>
          <w:sz w:val="26"/>
        </w:rPr>
        <w:t xml:space="preserve">3. Tiến độ thực tế tại hiện trường: </w:t>
      </w:r>
      <w:r>
        <w:rPr>
          <w:rFonts w:ascii="Times New Roman" w:hAnsi="Times New Roman" w:eastAsia="Times New Roman"/>
          <w:b w:val="0"/>
          <w:i w:val="0"/>
          <w:sz w:val="26"/>
        </w:rPr>
        <w:t>Thống kê % khối lượng hoàn thành, các hạng mục đang đúng hạn hoặc điểm nghẽn gây chậm trễ (nếu có).</w:t>
      </w:r>
    </w:p>
    <w:p>
      <w:pPr>
        <w:spacing w:before="280" w:after="120"/>
      </w:pPr>
      <w:r>
        <w:rPr>
          <w:rFonts w:ascii="Times New Roman" w:hAnsi="Times New Roman" w:eastAsia="Times New Roman"/>
          <w:b/>
          <w:i w:val="0"/>
          <w:sz w:val="26"/>
        </w:rPr>
        <w:t>7.2. Bảng KPI đánh giá hiệu quả giám sát</w:t>
      </w:r>
    </w:p>
    <w:p>
      <w:pPr>
        <w:spacing w:after="80" w:line="312" w:lineRule="auto"/>
      </w:pPr>
      <w:r>
        <w:rPr>
          <w:rFonts w:ascii="Times New Roman" w:hAnsi="Times New Roman" w:eastAsia="Times New Roman"/>
          <w:b w:val="0"/>
          <w:i w:val="0"/>
          <w:sz w:val="26"/>
        </w:rPr>
      </w:r>
    </w:p>
    <w:tbl>
      <w:tblPr>
        <w:tblStyle w:val="TableGrid"/>
        <w:tblW w:type="auto" w:w="0"/>
        <w:jc w:val="center"/>
        <w:tblLook w:firstColumn="1" w:firstRow="1" w:lastColumn="0" w:lastRow="0" w:noHBand="0" w:noVBand="1" w:val="04A0"/>
      </w:tblPr>
      <w:tblGrid>
        <w:gridCol w:w="3135"/>
        <w:gridCol w:w="3135"/>
        <w:gridCol w:w="3135"/>
      </w:tblGrid>
      <w:tr>
        <w:tc>
          <w:tcPr>
            <w:tcW w:type="dxa" w:w="3135"/>
          </w:tcPr>
          <w:p>
            <w:pPr>
              <w:jc w:val="center"/>
            </w:pPr>
            <w:r/>
            <w:r>
              <w:rPr>
                <w:rFonts w:ascii="Times New Roman" w:hAnsi="Times New Roman" w:eastAsia="Times New Roman"/>
                <w:b/>
                <w:i w:val="0"/>
                <w:sz w:val="22"/>
              </w:rPr>
              <w:t>KPI</w:t>
            </w:r>
          </w:p>
        </w:tc>
        <w:tc>
          <w:tcPr>
            <w:tcW w:type="dxa" w:w="3135"/>
          </w:tcPr>
          <w:p>
            <w:pPr>
              <w:jc w:val="center"/>
            </w:pPr>
            <w:r/>
            <w:r>
              <w:rPr>
                <w:rFonts w:ascii="Times New Roman" w:hAnsi="Times New Roman" w:eastAsia="Times New Roman"/>
                <w:b/>
                <w:i w:val="0"/>
                <w:sz w:val="22"/>
              </w:rPr>
              <w:t>Mục tiêu</w:t>
            </w:r>
          </w:p>
        </w:tc>
        <w:tc>
          <w:tcPr>
            <w:tcW w:type="dxa" w:w="3135"/>
          </w:tcPr>
          <w:p>
            <w:pPr>
              <w:jc w:val="center"/>
            </w:pPr>
            <w:r/>
            <w:r>
              <w:rPr>
                <w:rFonts w:ascii="Times New Roman" w:hAnsi="Times New Roman" w:eastAsia="Times New Roman"/>
                <w:b/>
                <w:i w:val="0"/>
                <w:sz w:val="22"/>
              </w:rPr>
              <w:t>Tần suất đo</w:t>
            </w:r>
          </w:p>
        </w:tc>
      </w:tr>
      <w:tr>
        <w:tc>
          <w:tcPr>
            <w:tcW w:type="dxa" w:w="3135"/>
          </w:tcPr>
          <w:p>
            <w:r/>
            <w:r>
              <w:rPr>
                <w:rFonts w:ascii="Times New Roman" w:hAnsi="Times New Roman" w:eastAsia="Times New Roman"/>
                <w:b w:val="0"/>
                <w:i w:val="0"/>
                <w:sz w:val="22"/>
              </w:rPr>
              <w:t>Tỷ lệ yêu cầu KH giải quyết trong hạn cam kết</w:t>
            </w:r>
          </w:p>
        </w:tc>
        <w:tc>
          <w:tcPr>
            <w:tcW w:type="dxa" w:w="3135"/>
          </w:tcPr>
          <w:p>
            <w:r/>
            <w:r>
              <w:rPr>
                <w:rFonts w:ascii="Times New Roman" w:hAnsi="Times New Roman" w:eastAsia="Times New Roman"/>
                <w:b w:val="0"/>
                <w:i w:val="0"/>
                <w:sz w:val="22"/>
              </w:rPr>
              <w:t>≥ 90%</w:t>
            </w:r>
          </w:p>
        </w:tc>
        <w:tc>
          <w:tcPr>
            <w:tcW w:type="dxa" w:w="3135"/>
          </w:tcPr>
          <w:p>
            <w:r/>
            <w:r>
              <w:rPr>
                <w:rFonts w:ascii="Times New Roman" w:hAnsi="Times New Roman" w:eastAsia="Times New Roman"/>
                <w:b w:val="0"/>
                <w:i w:val="0"/>
                <w:sz w:val="22"/>
              </w:rPr>
              <w:t>Hàng tháng</w:t>
            </w:r>
          </w:p>
        </w:tc>
      </w:tr>
      <w:tr>
        <w:tc>
          <w:tcPr>
            <w:tcW w:type="dxa" w:w="3135"/>
          </w:tcPr>
          <w:p>
            <w:r/>
            <w:r>
              <w:rPr>
                <w:rFonts w:ascii="Times New Roman" w:hAnsi="Times New Roman" w:eastAsia="Times New Roman"/>
                <w:b w:val="0"/>
                <w:i w:val="0"/>
                <w:sz w:val="22"/>
              </w:rPr>
              <w:t>Thời gian phản hồi trung bình (Mức 2–3)</w:t>
            </w:r>
          </w:p>
        </w:tc>
        <w:tc>
          <w:tcPr>
            <w:tcW w:type="dxa" w:w="3135"/>
          </w:tcPr>
          <w:p>
            <w:r/>
            <w:r>
              <w:rPr>
                <w:rFonts w:ascii="Times New Roman" w:hAnsi="Times New Roman" w:eastAsia="Times New Roman"/>
                <w:b w:val="0"/>
                <w:i w:val="0"/>
                <w:sz w:val="22"/>
              </w:rPr>
              <w:t>≤ 24h (thường), ≤ 4h (khẩn cấp)</w:t>
            </w:r>
          </w:p>
        </w:tc>
        <w:tc>
          <w:tcPr>
            <w:tcW w:type="dxa" w:w="3135"/>
          </w:tcPr>
          <w:p>
            <w:r/>
            <w:r>
              <w:rPr>
                <w:rFonts w:ascii="Times New Roman" w:hAnsi="Times New Roman" w:eastAsia="Times New Roman"/>
                <w:b w:val="0"/>
                <w:i w:val="0"/>
                <w:sz w:val="22"/>
              </w:rPr>
              <w:t>Hàng tuần</w:t>
            </w:r>
          </w:p>
        </w:tc>
      </w:tr>
      <w:tr>
        <w:tc>
          <w:tcPr>
            <w:tcW w:type="dxa" w:w="3135"/>
          </w:tcPr>
          <w:p>
            <w:r/>
            <w:r>
              <w:rPr>
                <w:rFonts w:ascii="Times New Roman" w:hAnsi="Times New Roman" w:eastAsia="Times New Roman"/>
                <w:b w:val="0"/>
                <w:i w:val="0"/>
                <w:sz w:val="22"/>
              </w:rPr>
              <w:t>Tỷ lệ báo cáo đúng hạn, đủ nội dung</w:t>
            </w:r>
          </w:p>
        </w:tc>
        <w:tc>
          <w:tcPr>
            <w:tcW w:type="dxa" w:w="3135"/>
          </w:tcPr>
          <w:p>
            <w:r/>
            <w:r>
              <w:rPr>
                <w:rFonts w:ascii="Times New Roman" w:hAnsi="Times New Roman" w:eastAsia="Times New Roman"/>
                <w:b w:val="0"/>
                <w:i w:val="0"/>
                <w:sz w:val="22"/>
              </w:rPr>
              <w:t>100%</w:t>
            </w:r>
          </w:p>
        </w:tc>
        <w:tc>
          <w:tcPr>
            <w:tcW w:type="dxa" w:w="3135"/>
          </w:tcPr>
          <w:p>
            <w:r/>
            <w:r>
              <w:rPr>
                <w:rFonts w:ascii="Times New Roman" w:hAnsi="Times New Roman" w:eastAsia="Times New Roman"/>
                <w:b w:val="0"/>
                <w:i w:val="0"/>
                <w:sz w:val="22"/>
              </w:rPr>
              <w:t>Hàng tuần</w:t>
            </w:r>
          </w:p>
        </w:tc>
      </w:tr>
      <w:tr>
        <w:tc>
          <w:tcPr>
            <w:tcW w:type="dxa" w:w="3135"/>
          </w:tcPr>
          <w:p>
            <w:r/>
            <w:r>
              <w:rPr>
                <w:rFonts w:ascii="Times New Roman" w:hAnsi="Times New Roman" w:eastAsia="Times New Roman"/>
                <w:b w:val="0"/>
                <w:i w:val="0"/>
                <w:sz w:val="22"/>
              </w:rPr>
              <w:t>Mức độ hài lòng của nhà máy (khảo sát)</w:t>
            </w:r>
          </w:p>
        </w:tc>
        <w:tc>
          <w:tcPr>
            <w:tcW w:type="dxa" w:w="3135"/>
          </w:tcPr>
          <w:p>
            <w:r/>
            <w:r>
              <w:rPr>
                <w:rFonts w:ascii="Times New Roman" w:hAnsi="Times New Roman" w:eastAsia="Times New Roman"/>
                <w:b w:val="0"/>
                <w:i w:val="0"/>
                <w:sz w:val="22"/>
              </w:rPr>
              <w:t>≥ 4.0/5</w:t>
            </w:r>
          </w:p>
        </w:tc>
        <w:tc>
          <w:tcPr>
            <w:tcW w:type="dxa" w:w="3135"/>
          </w:tcPr>
          <w:p>
            <w:r/>
            <w:r>
              <w:rPr>
                <w:rFonts w:ascii="Times New Roman" w:hAnsi="Times New Roman" w:eastAsia="Times New Roman"/>
                <w:b w:val="0"/>
                <w:i w:val="0"/>
                <w:sz w:val="22"/>
              </w:rPr>
              <w:t>Hàng tháng</w:t>
            </w:r>
          </w:p>
        </w:tc>
      </w:tr>
      <w:tr>
        <w:tc>
          <w:tcPr>
            <w:tcW w:type="dxa" w:w="3135"/>
          </w:tcPr>
          <w:p>
            <w:r/>
            <w:r>
              <w:rPr>
                <w:rFonts w:ascii="Times New Roman" w:hAnsi="Times New Roman" w:eastAsia="Times New Roman"/>
                <w:b w:val="0"/>
                <w:i w:val="0"/>
                <w:sz w:val="22"/>
              </w:rPr>
              <w:t>Số sự cố phát hiện chủ động</w:t>
            </w:r>
          </w:p>
        </w:tc>
        <w:tc>
          <w:tcPr>
            <w:tcW w:type="dxa" w:w="3135"/>
          </w:tcPr>
          <w:p>
            <w:r/>
            <w:r>
              <w:rPr>
                <w:rFonts w:ascii="Times New Roman" w:hAnsi="Times New Roman" w:eastAsia="Times New Roman"/>
                <w:b w:val="0"/>
                <w:i w:val="0"/>
                <w:sz w:val="22"/>
              </w:rPr>
              <w:t>≥ 02 sự cố/tháng</w:t>
            </w:r>
          </w:p>
        </w:tc>
        <w:tc>
          <w:tcPr>
            <w:tcW w:type="dxa" w:w="3135"/>
          </w:tcPr>
          <w:p>
            <w:r/>
            <w:r>
              <w:rPr>
                <w:rFonts w:ascii="Times New Roman" w:hAnsi="Times New Roman" w:eastAsia="Times New Roman"/>
                <w:b w:val="0"/>
                <w:i w:val="0"/>
                <w:sz w:val="22"/>
              </w:rPr>
              <w:t>Hàng tháng</w:t>
            </w:r>
          </w:p>
        </w:tc>
      </w:tr>
    </w:tbl>
    <w:p/>
    <w:p>
      <w:pPr>
        <w:spacing w:before="280" w:after="120"/>
      </w:pPr>
      <w:r>
        <w:rPr>
          <w:rFonts w:ascii="Times New Roman" w:hAnsi="Times New Roman" w:eastAsia="Times New Roman"/>
          <w:b/>
          <w:i w:val="0"/>
          <w:sz w:val="26"/>
        </w:rPr>
        <w:t>7.3. Báo cáo đột xuất và khẩn cấp</w:t>
      </w:r>
    </w:p>
    <w:p>
      <w:pPr>
        <w:spacing w:after="80" w:line="312" w:lineRule="auto"/>
      </w:pPr>
      <w:r>
        <w:rPr>
          <w:rFonts w:ascii="Times New Roman" w:hAnsi="Times New Roman" w:eastAsia="Times New Roman"/>
          <w:b w:val="0"/>
          <w:i w:val="0"/>
          <w:sz w:val="26"/>
        </w:rPr>
        <w:t>Đối với sự cố Mức 3–4, Nhóm thực địa báo cáo ngay qua kênh khẩn cấp (điện thoại/Zalo cho QLKT và BGĐ) không chờ báo cáo định kỳ.</w:t>
      </w:r>
    </w:p>
    <w:p>
      <w:pPr>
        <w:spacing w:before="280" w:after="120"/>
      </w:pPr>
      <w:r>
        <w:rPr>
          <w:rFonts w:ascii="Times New Roman" w:hAnsi="Times New Roman" w:eastAsia="Times New Roman"/>
          <w:b/>
          <w:i w:val="0"/>
          <w:sz w:val="28"/>
        </w:rPr>
        <w:t>Điều 8. Đánh giá, khen thưởng và xử lý vi phạm</w:t>
      </w:r>
    </w:p>
    <w:p>
      <w:pPr>
        <w:spacing w:before="280" w:after="120"/>
      </w:pPr>
      <w:r>
        <w:rPr>
          <w:rFonts w:ascii="Times New Roman" w:hAnsi="Times New Roman" w:eastAsia="Times New Roman"/>
          <w:b/>
          <w:i w:val="0"/>
          <w:sz w:val="26"/>
        </w:rPr>
        <w:t>8.1. Khen thưởng</w:t>
      </w:r>
    </w:p>
    <w:p>
      <w:pPr>
        <w:pStyle w:val="ListBullet"/>
        <w:spacing w:after="40" w:line="312" w:lineRule="auto"/>
      </w:pPr>
      <w:r>
        <w:rPr>
          <w:rFonts w:ascii="Times New Roman" w:hAnsi="Times New Roman" w:eastAsia="Times New Roman"/>
          <w:b w:val="0"/>
          <w:i w:val="0"/>
          <w:sz w:val="26"/>
        </w:rPr>
        <w:t>Ghi nhận hàng tháng: cá nhân xuất sắc nhất (MVP Kỹ thuật thực địa) được khen thưởng theo chính sách Công ty.</w:t>
      </w:r>
    </w:p>
    <w:p>
      <w:pPr>
        <w:pStyle w:val="ListBullet"/>
        <w:spacing w:after="40" w:line="312" w:lineRule="auto"/>
      </w:pPr>
      <w:r>
        <w:rPr>
          <w:rFonts w:ascii="Times New Roman" w:hAnsi="Times New Roman" w:eastAsia="Times New Roman"/>
          <w:b w:val="0"/>
          <w:i w:val="0"/>
          <w:sz w:val="26"/>
        </w:rPr>
        <w:t>Xét thăng tiến: Nhân viên đạt KPI xuất sắc liên tiếp 06 tháng được ưu tiên xét thăng cấp trước hạn.</w:t>
      </w:r>
    </w:p>
    <w:p>
      <w:pPr>
        <w:pStyle w:val="ListBullet"/>
        <w:spacing w:after="40" w:line="312" w:lineRule="auto"/>
      </w:pPr>
      <w:r>
        <w:rPr>
          <w:rFonts w:ascii="Times New Roman" w:hAnsi="Times New Roman" w:eastAsia="Times New Roman"/>
          <w:b w:val="0"/>
          <w:i w:val="0"/>
          <w:sz w:val="26"/>
        </w:rPr>
        <w:t>Thưởng sáng kiến: Phát hiện và đề xuất giải pháp cải tiến/tiết kiệm chi phí được thưởng % giá trị mang lại.</w:t>
      </w:r>
    </w:p>
    <w:p>
      <w:pPr>
        <w:spacing w:before="280" w:after="120"/>
      </w:pPr>
      <w:r>
        <w:rPr>
          <w:rFonts w:ascii="Times New Roman" w:hAnsi="Times New Roman" w:eastAsia="Times New Roman"/>
          <w:b/>
          <w:i w:val="0"/>
          <w:sz w:val="26"/>
        </w:rPr>
        <w:t>8.2. Xử lý vi phạm</w:t>
      </w:r>
    </w:p>
    <w:p>
      <w:pPr>
        <w:spacing w:after="80" w:line="312" w:lineRule="auto"/>
      </w:pPr>
      <w:r>
        <w:rPr>
          <w:rFonts w:ascii="Times New Roman" w:hAnsi="Times New Roman" w:eastAsia="Times New Roman"/>
          <w:b w:val="0"/>
          <w:i w:val="0"/>
          <w:sz w:val="26"/>
        </w:rPr>
        <w:t>Nhân sự vi phạm quy định về thời hạn báo cáo, nội dung báo cáo không trung thực, không tuân thủ quy trình phối hợp, vi phạm an toàn lao động hoặc bảo mật thông tin sẽ bị xem xét xử lý kỷ luật theo Quy chế lao động của Công ty. Tùy theo mức độ vi phạm, các hình thức xử lý bao gồm: nhắc nhở, khiển trách, cảnh cáo, hạ bậc lương hoặc chấm dứt hợp đồng lao động.</w:t>
      </w:r>
    </w:p>
    <w:p>
      <w:pPr>
        <w:spacing w:before="280" w:after="120"/>
      </w:pPr>
      <w:r>
        <w:rPr>
          <w:rFonts w:ascii="Times New Roman" w:hAnsi="Times New Roman" w:eastAsia="Times New Roman"/>
          <w:b/>
          <w:i w:val="0"/>
          <w:sz w:val="28"/>
        </w:rPr>
        <w:t>Điều 9. Tổ chức thực hiện</w:t>
      </w:r>
    </w:p>
    <w:p>
      <w:pPr>
        <w:spacing w:after="80" w:line="312" w:lineRule="auto"/>
      </w:pPr>
      <w:r>
        <w:rPr>
          <w:rFonts w:ascii="Times New Roman" w:hAnsi="Times New Roman" w:eastAsia="Times New Roman"/>
          <w:b w:val="0"/>
          <w:i w:val="0"/>
          <w:sz w:val="26"/>
        </w:rPr>
        <w:t>Trưởng Phòng Kỹ thuật chịu trách nhiệm hướng dẫn, phổ biến và tổ chức thực hiện Quy định này đến toàn bộ nhân sự thuộc phạm vi áp dụng.</w:t>
      </w:r>
    </w:p>
    <w:p>
      <w:pPr>
        <w:spacing w:before="280" w:after="120"/>
      </w:pPr>
      <w:r>
        <w:rPr>
          <w:rFonts w:ascii="Times New Roman" w:hAnsi="Times New Roman" w:eastAsia="Times New Roman"/>
          <w:b/>
          <w:i w:val="0"/>
          <w:sz w:val="28"/>
        </w:rPr>
        <w:t>Điều 10. Hiệu lực thi hành</w:t>
      </w:r>
    </w:p>
    <w:p>
      <w:pPr>
        <w:spacing w:after="80" w:line="312" w:lineRule="auto"/>
      </w:pPr>
      <w:r>
        <w:rPr>
          <w:rFonts w:ascii="Times New Roman" w:hAnsi="Times New Roman" w:eastAsia="Times New Roman"/>
          <w:b w:val="0"/>
          <w:i w:val="0"/>
          <w:sz w:val="26"/>
        </w:rPr>
        <w:t>1. Quy định này có hiệu lực kể từ ngày ký ban hành.</w:t>
      </w:r>
    </w:p>
    <w:p>
      <w:pPr>
        <w:spacing w:after="80" w:line="312" w:lineRule="auto"/>
      </w:pPr>
      <w:r>
        <w:rPr>
          <w:rFonts w:ascii="Times New Roman" w:hAnsi="Times New Roman" w:eastAsia="Times New Roman"/>
          <w:b w:val="0"/>
          <w:i w:val="0"/>
          <w:sz w:val="26"/>
        </w:rPr>
        <w:t>2. Quy định này thay thế/bãi bỏ các quy định trước đây có nội dung trái với Quy định này.</w:t>
      </w:r>
    </w:p>
    <w:p>
      <w:pPr>
        <w:spacing w:after="80" w:line="312" w:lineRule="auto"/>
      </w:pPr>
      <w:r>
        <w:rPr>
          <w:rFonts w:ascii="Times New Roman" w:hAnsi="Times New Roman" w:eastAsia="Times New Roman"/>
          <w:b w:val="0"/>
          <w:i w:val="0"/>
          <w:sz w:val="26"/>
        </w:rPr>
        <w:t>3. Các văn bản, quy định trước đây trái với Quy định này đều hết hiệu lực.</w:t>
      </w:r>
    </w:p>
    <w:p>
      <w:pPr>
        <w:spacing w:before="280" w:after="120"/>
      </w:pPr>
      <w:r>
        <w:rPr>
          <w:rFonts w:ascii="Times New Roman" w:hAnsi="Times New Roman" w:eastAsia="Times New Roman"/>
          <w:b/>
          <w:i w:val="0"/>
          <w:sz w:val="28"/>
        </w:rPr>
        <w:t>Điều 11. Sửa đổi, bổ sung</w:t>
      </w:r>
    </w:p>
    <w:p>
      <w:pPr>
        <w:spacing w:after="80" w:line="312" w:lineRule="auto"/>
      </w:pPr>
      <w:r>
        <w:rPr>
          <w:rFonts w:ascii="Times New Roman" w:hAnsi="Times New Roman" w:eastAsia="Times New Roman"/>
          <w:b w:val="0"/>
          <w:i w:val="0"/>
          <w:sz w:val="26"/>
        </w:rPr>
        <w:t>Mọi sửa đổi, bổ sung Quy định này phải được Ban Giám đốc phê duyệt bằng văn bản. Việc đề xuất sửa đổi có thể được thực hiện bởi Trưởng Phòng Kỹ thuật hoặc các thành viên BGĐ.</w:t>
      </w:r>
    </w:p>
    <w:p>
      <w:pPr>
        <w:spacing w:before="120" w:after="120"/>
      </w:pPr>
      <w:r>
        <w:rPr>
          <w:rFonts w:ascii="Times New Roman" w:hAnsi="Times New Roman" w:eastAsia="Times New Roman"/>
          <w:b w:val="0"/>
          <w:i w:val="0"/>
          <w:color w:val="B4B4B4"/>
          <w:sz w:val="20"/>
        </w:rPr>
        <w:t>────────────────────────────────────────────────────────────</w:t>
      </w:r>
    </w:p>
    <w:p>
      <w:pPr>
        <w:spacing w:before="280" w:after="120"/>
      </w:pPr>
      <w:r>
        <w:rPr>
          <w:rFonts w:ascii="Times New Roman" w:hAnsi="Times New Roman" w:eastAsia="Times New Roman"/>
          <w:b/>
          <w:i w:val="0"/>
          <w:sz w:val="28"/>
        </w:rPr>
        <w:t>NƠI NHẬN:</w:t>
      </w:r>
    </w:p>
    <w:p>
      <w:pPr>
        <w:spacing w:after="40"/>
      </w:pPr>
      <w:r>
        <w:rPr>
          <w:rFonts w:ascii="Times New Roman" w:hAnsi="Times New Roman" w:eastAsia="Times New Roman"/>
          <w:b w:val="0"/>
          <w:i w:val="0"/>
          <w:sz w:val="26"/>
        </w:rPr>
        <w:t>— Ban Giám đốc (để báo cáo);</w:t>
      </w:r>
    </w:p>
    <w:p>
      <w:pPr>
        <w:spacing w:after="40"/>
      </w:pPr>
      <w:r>
        <w:rPr>
          <w:rFonts w:ascii="Times New Roman" w:hAnsi="Times New Roman" w:eastAsia="Times New Roman"/>
          <w:b w:val="0"/>
          <w:i w:val="0"/>
          <w:sz w:val="26"/>
        </w:rPr>
        <w:t>— Quản lý Phòng Kỹ thuật (để phối hợp thực hiện);</w:t>
      </w:r>
    </w:p>
    <w:p>
      <w:pPr>
        <w:spacing w:after="40"/>
      </w:pPr>
      <w:r>
        <w:rPr>
          <w:rFonts w:ascii="Times New Roman" w:hAnsi="Times New Roman" w:eastAsia="Times New Roman"/>
          <w:b w:val="0"/>
          <w:i w:val="0"/>
          <w:sz w:val="26"/>
        </w:rPr>
        <w:t>— Nhóm Kỹ thuật thực địa (để thực hiện);</w:t>
      </w:r>
    </w:p>
    <w:p>
      <w:pPr>
        <w:spacing w:after="80"/>
      </w:pPr>
      <w:r>
        <w:rPr>
          <w:rFonts w:ascii="Times New Roman" w:hAnsi="Times New Roman" w:eastAsia="Times New Roman"/>
          <w:b w:val="0"/>
          <w:i w:val="0"/>
          <w:sz w:val="26"/>
        </w:rPr>
        <w:t>— Lưu VT.</w:t>
      </w:r>
    </w:p>
    <w:p>
      <w:pPr>
        <w:spacing w:after="80" w:line="312" w:lineRule="auto"/>
      </w:pPr>
      <w:r>
        <w:rPr>
          <w:rFonts w:ascii="Times New Roman" w:hAnsi="Times New Roman" w:eastAsia="Times New Roman"/>
          <w:b w:val="0"/>
          <w:i w:val="0"/>
          <w:sz w:val="26"/>
        </w:rPr>
      </w:r>
    </w:p>
    <w:p>
      <w:pPr>
        <w:spacing w:before="240"/>
        <w:jc w:val="left"/>
      </w:pPr>
      <w:r>
        <w:rPr>
          <w:rFonts w:ascii="Times New Roman" w:hAnsi="Times New Roman" w:eastAsia="Times New Roman"/>
          <w:b w:val="0"/>
          <w:i/>
          <w:sz w:val="26"/>
        </w:rPr>
        <w:t>TP. Hồ Chí Minh, ngày …… tháng …… năm 2026</w:t>
      </w:r>
    </w:p>
    <w:tbl>
      <w:tblPr>
        <w:tblW w:type="auto" w:w="0"/>
        <w:jc w:val="center"/>
        <w:tblLook w:firstColumn="1" w:firstRow="1" w:lastColumn="0" w:lastRow="0" w:noHBand="0" w:noVBand="1" w:val="04A0"/>
      </w:tblPr>
      <w:tblGrid>
        <w:gridCol w:w="3135"/>
        <w:gridCol w:w="3135"/>
        <w:gridCol w:w="3135"/>
      </w:tblGrid>
      <w:tr>
        <w:tc>
          <w:tcPr>
            <w:tcW w:type="dxa" w:w="3135"/>
          </w:tcPr>
          <w:p>
            <w:pPr>
              <w:jc w:val="center"/>
            </w:pPr>
            <w:r/>
            <w:r>
              <w:rPr>
                <w:rFonts w:ascii="Times New Roman" w:hAnsi="Times New Roman" w:eastAsia="Times New Roman"/>
                <w:b/>
                <w:i w:val="0"/>
                <w:sz w:val="24"/>
              </w:rPr>
              <w:t>NGƯỜI LẬP QUY TRÌNH</w:t>
              <w:br/>
              <w:t>(Ký, ghi rõ họ tên)</w:t>
            </w:r>
          </w:p>
        </w:tc>
        <w:tc>
          <w:tcPr>
            <w:tcW w:type="dxa" w:w="3135"/>
          </w:tcPr>
          <w:p>
            <w:pPr>
              <w:jc w:val="center"/>
            </w:pPr>
            <w:r/>
            <w:r>
              <w:rPr>
                <w:rFonts w:ascii="Times New Roman" w:hAnsi="Times New Roman" w:eastAsia="Times New Roman"/>
                <w:b/>
                <w:i w:val="0"/>
                <w:sz w:val="24"/>
              </w:rPr>
              <w:t>TRƯỞNG PHÒNG</w:t>
              <w:br/>
              <w:t>KỸ THUẬT</w:t>
              <w:br/>
              <w:t>(Ký, ghi rõ họ tên)</w:t>
            </w:r>
          </w:p>
        </w:tc>
        <w:tc>
          <w:tcPr>
            <w:tcW w:type="dxa" w:w="3135"/>
          </w:tcPr>
          <w:p>
            <w:pPr>
              <w:jc w:val="center"/>
            </w:pPr>
            <w:r/>
            <w:r>
              <w:rPr>
                <w:rFonts w:ascii="Times New Roman" w:hAnsi="Times New Roman" w:eastAsia="Times New Roman"/>
                <w:b/>
                <w:i w:val="0"/>
                <w:sz w:val="24"/>
              </w:rPr>
              <w:t>DUYỆT CỦA</w:t>
              <w:br/>
              <w:t>BAN GIÁM ĐỐC</w:t>
              <w:br/>
              <w:t>(Ký, đóng dấu, ghi rõ họ tên)</w:t>
            </w:r>
          </w:p>
        </w:tc>
      </w:tr>
    </w:tbl>
    <w:sectPr w:rsidR="00FC693F" w:rsidRPr="0006063C"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