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CÔNG TY TNHH SX - TM HOÁ KEO BÌNH THẠNH</w:t>
      </w:r>
    </w:p>
    <w:p>
      <w:pPr>
        <w:jc w:val="center"/>
      </w:pPr>
      <w:r>
        <w:rPr>
          <w:color w:val="666666"/>
          <w:sz w:val="20"/>
        </w:rPr>
        <w:t>KP. Bình Phước B, P. An Phú, TP. Hồ Chí Minh</w:t>
        <w:br/>
        <w:t>Tel: (0274) 3 789 991/2/3 — Email: kythuat@btchem.com.vn</w:t>
      </w:r>
    </w:p>
    <w:p/>
    <w:p>
      <w:pPr>
        <w:jc w:val="center"/>
      </w:pPr>
      <w:r>
        <w:rPr>
          <w:sz w:val="20"/>
        </w:rPr>
        <w:t>———o0o———</w:t>
      </w:r>
    </w:p>
    <w:p/>
    <w:p>
      <w:pPr>
        <w:jc w:val="center"/>
      </w:pPr>
      <w:r>
        <w:rPr>
          <w:b/>
          <w:sz w:val="30"/>
        </w:rPr>
        <w:t>PHÂN TÍCH &amp; ĐỀ XUẤT</w:t>
        <w:br/>
        <w:t>CHÍNH SÁCH GIỚI THIỆU &amp; CHĂM SÓC KHÁCH HÀNG MỚI</w:t>
      </w:r>
    </w:p>
    <w:p/>
    <w:p>
      <w:pPr>
        <w:jc w:val="center"/>
      </w:pPr>
      <w:r>
        <w:rPr>
          <w:i/>
          <w:color w:val="666666"/>
          <w:sz w:val="22"/>
        </w:rPr>
        <w:t>(Phân tích dự thảo ngày 20/05/2026 — Bản đề xuất ngày 22/06/2026)</w:t>
      </w:r>
    </w:p>
    <w:p/>
    <w:p/>
    <w:p>
      <w:pPr>
        <w:pStyle w:val="Heading1"/>
      </w:pPr>
      <w:r>
        <w:t>I. TÓM TẮT VĂN BẢN DỰ THẢO (20/05/2026)</w:t>
      </w:r>
    </w:p>
    <w:p>
      <w:pPr>
        <w:pStyle w:val="Heading2"/>
      </w:pPr>
      <w:r>
        <w:t>1. Định nghĩa</w:t>
      </w:r>
    </w:p>
    <w:p>
      <w:pPr>
        <w:pStyle w:val="ListBullet"/>
      </w:pPr>
      <w:r>
        <w:t>Khách hàng mới: khách hàng hiện công ty chưa bán hàng.</w:t>
      </w:r>
    </w:p>
    <w:p>
      <w:pPr>
        <w:pStyle w:val="ListBullet"/>
      </w:pPr>
      <w:r>
        <w:t>Người giới thiệu: Cộng tác viên (hoa hồng theo hợp đồng) hoặc Nhân viên hưởng lương (thưởng theo quy định Ban Giám Đốc).</w:t>
      </w:r>
    </w:p>
    <w:p>
      <w:pPr>
        <w:pStyle w:val="Heading2"/>
      </w:pPr>
      <w:r>
        <w:t>2. Quy trình đánh giá</w:t>
      </w:r>
    </w:p>
    <w:p>
      <w:r>
        <w:rPr>
          <w:b/>
        </w:rPr>
        <w:t xml:space="preserve">Bước 1 — Đánh giá lần 1: </w:t>
      </w:r>
      <w:r>
        <w:t>Người giới thiệu thực hiện, Phòng Kỹ thuật kiểm tra xác nhận, báo Ban Giám Đốc.</w:t>
      </w:r>
    </w:p>
    <w:p>
      <w:r>
        <w:rPr>
          <w:b/>
        </w:rPr>
        <w:t xml:space="preserve">Bước 2 — Đánh giá lần 2: </w:t>
      </w:r>
      <w:r>
        <w:t>Sau giai đoạn làm mẫu. Người giới thiệu + Phòng Kỹ thuật + Bộ phận Chăm sóc khách hàng + Phòng Kinh doanh cùng thực hiện, đề xuất Ban Giám Đốc.</w:t>
      </w:r>
    </w:p>
    <w:p>
      <w:r>
        <w:rPr>
          <w:b/>
        </w:rPr>
        <w:t xml:space="preserve">Định kỳ: </w:t>
      </w:r>
      <w:r>
        <w:t>Đánh giá lại sau 3 tháng, 6 tháng. Sau 1 năm xem xét chuyển sang chế độ chăm sóc khách hàng bình thường.</w:t>
      </w:r>
    </w:p>
    <w:p>
      <w:pPr>
        <w:pStyle w:val="Heading2"/>
      </w:pPr>
      <w:r>
        <w:t>3. Chế độ khuyến khích</w:t>
      </w:r>
    </w:p>
    <w:p>
      <w:pPr>
        <w:pStyle w:val="ListBullet"/>
      </w:pPr>
      <w:r>
        <w:t>Cộng tác viên: phần trăm hoa hồng theo hợp đồng 1 năm.</w:t>
      </w:r>
    </w:p>
    <w:p>
      <w:pPr>
        <w:pStyle w:val="ListBullet"/>
      </w:pPr>
      <w:r>
        <w:t>Nhân viên giới thiệu + duy trì quan hệ (mục 3.2a): Thưởng phần trăm doanh số tháng, mức cơ bản 1.5%.</w:t>
      </w:r>
    </w:p>
    <w:p>
      <w:pPr>
        <w:pStyle w:val="ListBullet"/>
      </w:pPr>
      <w:r>
        <w:t>Nhân viên giới thiệu + phân công trực tiếp (mục 3.2b): Như trên.</w:t>
      </w:r>
    </w:p>
    <w:p>
      <w:pPr>
        <w:pStyle w:val="ListBullet"/>
      </w:pPr>
      <w:r>
        <w:t>Nhân viên kỹ thuật trực tiếp (mục 3.2c): Thưởng thêm theo doanh số trong 6 tháng đầu.</w:t>
      </w:r>
    </w:p>
    <w:p/>
    <w:p>
      <w:pPr>
        <w:pStyle w:val="Heading1"/>
      </w:pPr>
      <w:r>
        <w:t>II. VẤN ĐỀ TỒN TẠI CỦA DỰ THẢO</w:t>
      </w:r>
    </w:p>
    <w:p>
      <w:pPr>
        <w:pStyle w:val="Heading2"/>
      </w:pPr>
      <w:r>
        <w:t>Vấn đề cốt lõi: Người đánh giá đồng thời là người hưởng lợi</w:t>
      </w:r>
    </w:p>
    <w:p>
      <w:r>
        <w:t>Cả Bước 1 và Bước 2 trong quy trình đánh giá khách hàng mới đều do nhân sự kỹ thuật thực hiện hoặc đóng vai trò chủ đạo (Phòng Kỹ thuật kiểm tra xác nhận, người giới thiệu cũng thường là kỹ thuật). Song theo Mục 3.2 của dự thảo, chính những người này lại là đối tượng được hưởng hoa hồng theo phần trăm doanh số khi khách hàng đi vào hoạt động. Như vậy, người đánh giá đồng thời là người hưởng lợi từ kết quả đánh giá và cũng là người chi phối nguồn lực chào hàng của công ty.</w:t>
      </w:r>
    </w:p>
    <w:p>
      <w:pPr>
        <w:pStyle w:val="Heading3"/>
      </w:pPr>
      <w:r>
        <w:t>Hệ quả 1: Chi phối nguồn lực chào hàng theo hướng có lợi cho cá nhân</w:t>
      </w:r>
    </w:p>
    <w:p>
      <w:r>
        <w:t>Người kỹ thuật có động cơ kéo dài giai đoạn làm mẫu, đề xuất đầu tư nguồn lực cho những khách hàng có tiềm năng thấp nhưng dễ ra đơn, và báo cáo đánh giá thiên lệch không phản ánh đúng thực trạng — tất cả chỉ để kích hoạt thời gian hưởng hoa hồng.</w:t>
      </w:r>
    </w:p>
    <w:p>
      <w:pPr>
        <w:pStyle w:val="Heading3"/>
      </w:pPr>
      <w:r>
        <w:t>Hệ quả 2: Biến khách hàng thành tài sản cá nhân</w:t>
      </w:r>
    </w:p>
    <w:p>
      <w:r>
        <w:t>Khi hoa hồng gắn với phần trăm doanh số, người kỹ thuật có xu hướng độc chiếm mối quan hệ, ôm giữ thông tin, không chuyển giao cho đồng nghiệp. Khách hàng trở thành "khách hàng của cá nhân" chứ không phải của công ty. Khi người đó nghỉ việc, công ty đối mặt với rủi ro mất trắng khách hàng.</w:t>
      </w:r>
    </w:p>
    <w:p>
      <w:pPr>
        <w:pStyle w:val="Heading3"/>
      </w:pPr>
      <w:r>
        <w:t>Hệ quả 3: Chi phí hoa hồng duy trì không tương xứng</w:t>
      </w:r>
    </w:p>
    <w:p>
      <w:r>
        <w:t>Trong mô hình bán cho nhà máy, chi phí đầu vào (nguyên vật liệu, sản xuất, vận chuyển) chiếm phần lớn doanh số. Duy trì một khách hàng hiện tại là trách nhiệm công việc của nhân viên nhận lương. Việc trả hoa hồng theo phần trăm kéo dài sẽ làm xói mòn lợi nhuận của công ty mà không mang lại giá trị gia tăng tương ứng.</w:t>
      </w:r>
    </w:p>
    <w:p/>
    <w:p>
      <w:pPr>
        <w:pStyle w:val="Heading1"/>
      </w:pPr>
      <w:r>
        <w:t>III. ĐỀ XUẤT CHÍNH SÁCH THAY THẾ</w:t>
      </w:r>
    </w:p>
    <w:p>
      <w:r>
        <w:t>Nguyên lý cốt lõi: "Trả công xứng đáng cho hành vi kết nối (giới thiệu), nhưng không biến khách hàng thành tài sản cá nhân."</w:t>
      </w:r>
    </w:p>
    <w:p>
      <w:pPr>
        <w:pStyle w:val="Heading2"/>
      </w:pPr>
      <w:r>
        <w:t>1. Cấu trúc thưởng 3 giai đoạn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F4E79"/>
          </w:tcPr>
          <w:p>
            <w:pPr>
              <w:jc w:val="center"/>
            </w:pPr>
            <w:r>
              <w:rPr>
                <w:b/>
                <w:color w:val="FFFFFF"/>
                <w:sz w:val="22"/>
              </w:rPr>
              <w:t>Giai đoạn</w:t>
            </w:r>
          </w:p>
        </w:tc>
        <w:tc>
          <w:tcPr>
            <w:tcW w:type="dxa" w:w="2351"/>
            <w:shd w:val="clear" w:color="auto" w:fill="1F4E79"/>
          </w:tcPr>
          <w:p>
            <w:pPr>
              <w:jc w:val="center"/>
            </w:pPr>
            <w:r>
              <w:rPr>
                <w:b/>
                <w:color w:val="FFFFFF"/>
                <w:sz w:val="22"/>
              </w:rPr>
              <w:t>Hành vi</w:t>
            </w:r>
          </w:p>
        </w:tc>
        <w:tc>
          <w:tcPr>
            <w:tcW w:type="dxa" w:w="2351"/>
            <w:shd w:val="clear" w:color="auto" w:fill="1F4E79"/>
          </w:tcPr>
          <w:p>
            <w:pPr>
              <w:jc w:val="center"/>
            </w:pPr>
            <w:r>
              <w:rPr>
                <w:b/>
                <w:color w:val="FFFFFF"/>
                <w:sz w:val="22"/>
              </w:rPr>
              <w:t>Hình thức thưởng</w:t>
            </w:r>
          </w:p>
        </w:tc>
        <w:tc>
          <w:tcPr>
            <w:tcW w:type="dxa" w:w="2351"/>
            <w:shd w:val="clear" w:color="auto" w:fill="1F4E79"/>
          </w:tcPr>
          <w:p>
            <w:pPr>
              <w:jc w:val="center"/>
            </w:pPr>
            <w:r>
              <w:rPr>
                <w:b/>
                <w:color w:val="FFFFFF"/>
                <w:sz w:val="22"/>
              </w:rPr>
              <w:t>Mục đích</w:t>
            </w:r>
          </w:p>
        </w:tc>
      </w:tr>
      <w:tr>
        <w:tc>
          <w:tcPr>
            <w:tcW w:type="dxa" w:w="2351"/>
            <w:shd w:val="clear" w:color="auto" w:fill="F2F2F2"/>
          </w:tcPr>
          <w:p>
            <w:pPr>
              <w:jc w:val="left"/>
            </w:pPr>
            <w:r/>
            <w:r>
              <w:rPr>
                <w:rFonts w:ascii="Times New Roman" w:hAnsi="Times New Roman"/>
                <w:b/>
                <w:sz w:val="20"/>
              </w:rPr>
              <w:t>Giai đoạn 1:</w:t>
              <w:br/>
              <w:t>Giới thiệu</w:t>
            </w:r>
          </w:p>
        </w:tc>
        <w:tc>
          <w:tcPr>
            <w:tcW w:type="dxa" w:w="2351"/>
            <w:shd w:val="clear" w:color="auto" w:fill="F2F2F2"/>
          </w:tcPr>
          <w:p>
            <w:pPr>
              <w:jc w:val="left"/>
            </w:pPr>
            <w:r/>
            <w:r>
              <w:rPr>
                <w:rFonts w:ascii="Times New Roman" w:hAnsi="Times New Roman"/>
                <w:b w:val="0"/>
                <w:sz w:val="20"/>
              </w:rPr>
              <w:t>Kỹ thuật phát hiện và báo thông tin khách hàng mới có tiềm năng.</w:t>
            </w:r>
          </w:p>
        </w:tc>
        <w:tc>
          <w:tcPr>
            <w:tcW w:type="dxa" w:w="2351"/>
            <w:shd w:val="clear" w:color="auto" w:fill="F2F2F2"/>
          </w:tcPr>
          <w:p>
            <w:pPr>
              <w:jc w:val="left"/>
            </w:pPr>
            <w:r/>
            <w:r>
              <w:rPr>
                <w:rFonts w:ascii="Times New Roman" w:hAnsi="Times New Roman"/>
                <w:b w:val="0"/>
                <w:sz w:val="20"/>
              </w:rPr>
              <w:t>Thưởng nóng bằng tiền mặt với mức cố định sau khi Phòng Kinh doanh thẩm định thông tin hợp lệ.</w:t>
            </w:r>
          </w:p>
        </w:tc>
        <w:tc>
          <w:tcPr>
            <w:tcW w:type="dxa" w:w="2351"/>
            <w:shd w:val="clear" w:color="auto" w:fill="F2F2F2"/>
          </w:tcPr>
          <w:p>
            <w:pPr>
              <w:jc w:val="left"/>
            </w:pPr>
            <w:r/>
            <w:r>
              <w:rPr>
                <w:rFonts w:ascii="Times New Roman" w:hAnsi="Times New Roman"/>
                <w:b w:val="0"/>
                <w:sz w:val="20"/>
              </w:rPr>
              <w:t>Khuyến khích chia sẻ thông tin sớm, đưa khách hàng về cho công ty.</w:t>
            </w:r>
          </w:p>
        </w:tc>
      </w:tr>
      <w:tr>
        <w:tc>
          <w:tcPr>
            <w:tcW w:type="dxa" w:w="2351"/>
          </w:tcPr>
          <w:p>
            <w:pPr>
              <w:jc w:val="left"/>
            </w:pPr>
            <w:r/>
            <w:r>
              <w:rPr>
                <w:rFonts w:ascii="Times New Roman" w:hAnsi="Times New Roman"/>
                <w:b/>
                <w:sz w:val="20"/>
              </w:rPr>
              <w:t>Giai đoạn 2:</w:t>
              <w:br/>
              <w:t>Chào hàng &amp; ra đơn</w:t>
            </w:r>
          </w:p>
        </w:tc>
        <w:tc>
          <w:tcPr>
            <w:tcW w:type="dxa" w:w="2351"/>
          </w:tcPr>
          <w:p>
            <w:pPr>
              <w:jc w:val="left"/>
            </w:pPr>
            <w:r/>
            <w:r>
              <w:rPr>
                <w:rFonts w:ascii="Times New Roman" w:hAnsi="Times New Roman"/>
                <w:b w:val="0"/>
                <w:sz w:val="20"/>
              </w:rPr>
              <w:t>Phối hợp làm mẫu, nghiệm thu và ký đơn hàng đầu tiên.</w:t>
            </w:r>
          </w:p>
        </w:tc>
        <w:tc>
          <w:tcPr>
            <w:tcW w:type="dxa" w:w="2351"/>
          </w:tcPr>
          <w:p>
            <w:pPr>
              <w:jc w:val="left"/>
            </w:pPr>
            <w:r/>
            <w:r>
              <w:rPr>
                <w:rFonts w:ascii="Times New Roman" w:hAnsi="Times New Roman"/>
                <w:b w:val="0"/>
                <w:sz w:val="20"/>
              </w:rPr>
              <w:t>Thưởng theo cột mốc với mức cố định khi khách hàng nghiệm thu mẫu thành công và ra đơn đầu tiên. Không tính theo phần trăm doanh số.</w:t>
            </w:r>
          </w:p>
        </w:tc>
        <w:tc>
          <w:tcPr>
            <w:tcW w:type="dxa" w:w="2351"/>
          </w:tcPr>
          <w:p>
            <w:pPr>
              <w:jc w:val="left"/>
            </w:pPr>
            <w:r/>
            <w:r>
              <w:rPr>
                <w:rFonts w:ascii="Times New Roman" w:hAnsi="Times New Roman"/>
                <w:b w:val="0"/>
                <w:sz w:val="20"/>
              </w:rPr>
              <w:t>Tập trung vào kết quả thực tế, tránh thổi phồng chi phí.</w:t>
            </w:r>
          </w:p>
        </w:tc>
      </w:tr>
      <w:tr>
        <w:tc>
          <w:tcPr>
            <w:tcW w:type="dxa" w:w="2351"/>
            <w:shd w:val="clear" w:color="auto" w:fill="F2F2F2"/>
          </w:tcPr>
          <w:p>
            <w:pPr>
              <w:jc w:val="left"/>
            </w:pPr>
            <w:r/>
            <w:r>
              <w:rPr>
                <w:rFonts w:ascii="Times New Roman" w:hAnsi="Times New Roman"/>
                <w:b/>
                <w:sz w:val="20"/>
              </w:rPr>
              <w:t>Giai đoạn 3:</w:t>
              <w:br/>
              <w:t>Duy trì</w:t>
            </w:r>
          </w:p>
        </w:tc>
        <w:tc>
          <w:tcPr>
            <w:tcW w:type="dxa" w:w="2351"/>
            <w:shd w:val="clear" w:color="auto" w:fill="F2F2F2"/>
          </w:tcPr>
          <w:p>
            <w:pPr>
              <w:jc w:val="left"/>
            </w:pPr>
            <w:r/>
            <w:r>
              <w:rPr>
                <w:rFonts w:ascii="Times New Roman" w:hAnsi="Times New Roman"/>
                <w:b w:val="0"/>
                <w:sz w:val="20"/>
              </w:rPr>
              <w:t>Chăm sóc, xử lý kỹ thuật, đảm bảo doanh số ổn định.</w:t>
            </w:r>
          </w:p>
        </w:tc>
        <w:tc>
          <w:tcPr>
            <w:tcW w:type="dxa" w:w="2351"/>
            <w:shd w:val="clear" w:color="auto" w:fill="F2F2F2"/>
          </w:tcPr>
          <w:p>
            <w:pPr>
              <w:jc w:val="left"/>
            </w:pPr>
            <w:r/>
            <w:r>
              <w:rPr>
                <w:rFonts w:ascii="Times New Roman" w:hAnsi="Times New Roman"/>
                <w:b w:val="0"/>
                <w:sz w:val="20"/>
              </w:rPr>
              <w:t>Không chia hoa hồng cho cá nhân. Đưa vào quỹ thưởng theo chỉ số cuối quý/cuối năm của toàn bộ phòng Kỹ thuật ứng dụng.</w:t>
            </w:r>
          </w:p>
        </w:tc>
        <w:tc>
          <w:tcPr>
            <w:tcW w:type="dxa" w:w="2351"/>
            <w:shd w:val="clear" w:color="auto" w:fill="F2F2F2"/>
          </w:tcPr>
          <w:p>
            <w:pPr>
              <w:jc w:val="left"/>
            </w:pPr>
            <w:r/>
            <w:r>
              <w:rPr>
                <w:rFonts w:ascii="Times New Roman" w:hAnsi="Times New Roman"/>
                <w:b w:val="0"/>
                <w:sz w:val="20"/>
              </w:rPr>
              <w:t>Xoá bỏ tư duy "khách hàng của tôi". Khuyến khích hỗ trợ và chuyển giao.</w:t>
            </w:r>
          </w:p>
        </w:tc>
      </w:tr>
    </w:tbl>
    <w:p/>
    <w:p>
      <w:pPr>
        <w:pStyle w:val="Heading2"/>
      </w:pPr>
      <w:r>
        <w:t>2. Bảng mức thưởng đề xuất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F4E79"/>
          </w:tcPr>
          <w:p>
            <w:pPr>
              <w:jc w:val="center"/>
            </w:pPr>
            <w:r>
              <w:rPr>
                <w:b/>
                <w:color w:val="FFFFFF"/>
                <w:sz w:val="22"/>
              </w:rPr>
              <w:t>Phân hạng khách hàng</w:t>
            </w:r>
          </w:p>
        </w:tc>
        <w:tc>
          <w:tcPr>
            <w:tcW w:type="dxa" w:w="2351"/>
            <w:shd w:val="clear" w:color="auto" w:fill="1F4E79"/>
          </w:tcPr>
          <w:p>
            <w:pPr>
              <w:jc w:val="center"/>
            </w:pPr>
            <w:r>
              <w:rPr>
                <w:b/>
                <w:color w:val="FFFFFF"/>
                <w:sz w:val="22"/>
              </w:rPr>
              <w:t>Thưởng Giai đoạn 1</w:t>
            </w:r>
          </w:p>
        </w:tc>
        <w:tc>
          <w:tcPr>
            <w:tcW w:type="dxa" w:w="2351"/>
            <w:shd w:val="clear" w:color="auto" w:fill="1F4E79"/>
          </w:tcPr>
          <w:p>
            <w:pPr>
              <w:jc w:val="center"/>
            </w:pPr>
            <w:r>
              <w:rPr>
                <w:b/>
                <w:color w:val="FFFFFF"/>
                <w:sz w:val="22"/>
              </w:rPr>
              <w:t>Thưởng Giai đoạn 2</w:t>
            </w:r>
          </w:p>
        </w:tc>
        <w:tc>
          <w:tcPr>
            <w:tcW w:type="dxa" w:w="2351"/>
            <w:shd w:val="clear" w:color="auto" w:fill="1F4E79"/>
          </w:tcPr>
          <w:p>
            <w:pPr>
              <w:jc w:val="center"/>
            </w:pPr>
            <w:r>
              <w:rPr>
                <w:b/>
                <w:color w:val="FFFFFF"/>
                <w:sz w:val="22"/>
              </w:rPr>
              <w:t>Cơ chế Giai đoạn 3</w:t>
            </w:r>
          </w:p>
        </w:tc>
      </w:tr>
      <w:tr>
        <w:tc>
          <w:tcPr>
            <w:tcW w:type="dxa" w:w="2351"/>
            <w:shd w:val="clear" w:color="auto" w:fill="F2F2F2"/>
          </w:tcPr>
          <w:p>
            <w:pPr>
              <w:jc w:val="center"/>
            </w:pPr>
            <w:r/>
            <w:r>
              <w:rPr>
                <w:rFonts w:ascii="Times New Roman" w:hAnsi="Times New Roman"/>
                <w:b/>
                <w:sz w:val="20"/>
              </w:rPr>
              <w:t>Hạng C</w:t>
              <w:br/>
              <w:t>(Dưới 500 triệu/năm)</w:t>
            </w:r>
          </w:p>
        </w:tc>
        <w:tc>
          <w:tcPr>
            <w:tcW w:type="dxa" w:w="2351"/>
            <w:shd w:val="clear" w:color="auto" w:fill="F2F2F2"/>
          </w:tcPr>
          <w:p>
            <w:pPr>
              <w:jc w:val="center"/>
            </w:pPr>
            <w:r/>
            <w:r>
              <w:rPr>
                <w:rFonts w:ascii="Times New Roman" w:hAnsi="Times New Roman"/>
                <w:b w:val="0"/>
                <w:sz w:val="20"/>
              </w:rPr>
              <w:t>500.000 đồng</w:t>
            </w:r>
          </w:p>
        </w:tc>
        <w:tc>
          <w:tcPr>
            <w:tcW w:type="dxa" w:w="2351"/>
            <w:shd w:val="clear" w:color="auto" w:fill="F2F2F2"/>
          </w:tcPr>
          <w:p>
            <w:pPr>
              <w:jc w:val="center"/>
            </w:pPr>
            <w:r/>
            <w:r>
              <w:rPr>
                <w:rFonts w:ascii="Times New Roman" w:hAnsi="Times New Roman"/>
                <w:b w:val="0"/>
                <w:sz w:val="20"/>
              </w:rPr>
              <w:t>2.000.000 đồng</w:t>
            </w:r>
          </w:p>
        </w:tc>
        <w:tc>
          <w:tcPr>
            <w:tcW w:type="dxa" w:w="2351"/>
            <w:shd w:val="clear" w:color="auto" w:fill="F2F2F2"/>
          </w:tcPr>
          <w:p>
            <w:pPr>
              <w:jc w:val="left"/>
            </w:pPr>
            <w:r/>
            <w:r>
              <w:rPr>
                <w:rFonts w:ascii="Times New Roman" w:hAnsi="Times New Roman"/>
                <w:b w:val="0"/>
                <w:sz w:val="20"/>
              </w:rPr>
              <w:t>Theo chỉ số chung của Phòng</w:t>
            </w:r>
          </w:p>
        </w:tc>
      </w:tr>
      <w:tr>
        <w:tc>
          <w:tcPr>
            <w:tcW w:type="dxa" w:w="2351"/>
          </w:tcPr>
          <w:p>
            <w:pPr>
              <w:jc w:val="center"/>
            </w:pPr>
            <w:r/>
            <w:r>
              <w:rPr>
                <w:rFonts w:ascii="Times New Roman" w:hAnsi="Times New Roman"/>
                <w:b/>
                <w:sz w:val="20"/>
              </w:rPr>
              <w:t>Hạng B</w:t>
              <w:br/>
              <w:t>(500 triệu - 2 tỷ/năm)</w:t>
            </w:r>
          </w:p>
        </w:tc>
        <w:tc>
          <w:tcPr>
            <w:tcW w:type="dxa" w:w="2351"/>
          </w:tcPr>
          <w:p>
            <w:pPr>
              <w:jc w:val="center"/>
            </w:pPr>
            <w:r/>
            <w:r>
              <w:rPr>
                <w:rFonts w:ascii="Times New Roman" w:hAnsi="Times New Roman"/>
                <w:b w:val="0"/>
                <w:sz w:val="20"/>
              </w:rPr>
              <w:t>1.000.000 đồng</w:t>
            </w:r>
          </w:p>
        </w:tc>
        <w:tc>
          <w:tcPr>
            <w:tcW w:type="dxa" w:w="2351"/>
          </w:tcPr>
          <w:p>
            <w:pPr>
              <w:jc w:val="center"/>
            </w:pPr>
            <w:r/>
            <w:r>
              <w:rPr>
                <w:rFonts w:ascii="Times New Roman" w:hAnsi="Times New Roman"/>
                <w:b w:val="0"/>
                <w:sz w:val="20"/>
              </w:rPr>
              <w:t>5.000.000 đồng</w:t>
            </w:r>
          </w:p>
        </w:tc>
        <w:tc>
          <w:tcPr>
            <w:tcW w:type="dxa" w:w="2351"/>
          </w:tcPr>
          <w:p>
            <w:pPr>
              <w:jc w:val="left"/>
            </w:pPr>
            <w:r/>
            <w:r>
              <w:rPr>
                <w:rFonts w:ascii="Times New Roman" w:hAnsi="Times New Roman"/>
                <w:b w:val="0"/>
                <w:sz w:val="20"/>
              </w:rPr>
              <w:t>Theo chỉ số chung của Phòng</w:t>
            </w:r>
          </w:p>
        </w:tc>
      </w:tr>
      <w:tr>
        <w:tc>
          <w:tcPr>
            <w:tcW w:type="dxa" w:w="2351"/>
            <w:shd w:val="clear" w:color="auto" w:fill="F2F2F2"/>
          </w:tcPr>
          <w:p>
            <w:pPr>
              <w:jc w:val="center"/>
            </w:pPr>
            <w:r/>
            <w:r>
              <w:rPr>
                <w:rFonts w:ascii="Times New Roman" w:hAnsi="Times New Roman"/>
                <w:b/>
                <w:sz w:val="20"/>
              </w:rPr>
              <w:t>Hạng A</w:t>
              <w:br/>
              <w:t>(Trên 2 tỷ/năm)</w:t>
            </w:r>
          </w:p>
        </w:tc>
        <w:tc>
          <w:tcPr>
            <w:tcW w:type="dxa" w:w="2351"/>
            <w:shd w:val="clear" w:color="auto" w:fill="F2F2F2"/>
          </w:tcPr>
          <w:p>
            <w:pPr>
              <w:jc w:val="center"/>
            </w:pPr>
            <w:r/>
            <w:r>
              <w:rPr>
                <w:rFonts w:ascii="Times New Roman" w:hAnsi="Times New Roman"/>
                <w:b w:val="0"/>
                <w:sz w:val="20"/>
              </w:rPr>
              <w:t>2.000.000 đồng</w:t>
            </w:r>
          </w:p>
        </w:tc>
        <w:tc>
          <w:tcPr>
            <w:tcW w:type="dxa" w:w="2351"/>
            <w:shd w:val="clear" w:color="auto" w:fill="F2F2F2"/>
          </w:tcPr>
          <w:p>
            <w:pPr>
              <w:jc w:val="center"/>
            </w:pPr>
            <w:r/>
            <w:r>
              <w:rPr>
                <w:rFonts w:ascii="Times New Roman" w:hAnsi="Times New Roman"/>
                <w:b w:val="0"/>
                <w:sz w:val="20"/>
              </w:rPr>
              <w:t>10 - 15 triệu đồng</w:t>
            </w:r>
          </w:p>
        </w:tc>
        <w:tc>
          <w:tcPr>
            <w:tcW w:type="dxa" w:w="2351"/>
            <w:shd w:val="clear" w:color="auto" w:fill="F2F2F2"/>
          </w:tcPr>
          <w:p>
            <w:pPr>
              <w:jc w:val="left"/>
            </w:pPr>
            <w:r/>
            <w:r>
              <w:rPr>
                <w:rFonts w:ascii="Times New Roman" w:hAnsi="Times New Roman"/>
                <w:b w:val="0"/>
                <w:sz w:val="20"/>
              </w:rPr>
              <w:t>Theo chỉ số Phòng + Phúc lợi đặc biệt</w:t>
            </w:r>
          </w:p>
        </w:tc>
      </w:tr>
    </w:tbl>
    <w:p/>
    <w:p>
      <w:pPr>
        <w:pStyle w:val="Heading2"/>
      </w:pPr>
      <w:r>
        <w:t>3. Chốt chặn: Luân chuyển tài khoản</w:t>
      </w:r>
    </w:p>
    <w:p>
      <w:r>
        <w:t>Sau 6-12 tháng kể từ khi khách hàng bắt đầu mua hàng ổn định, toàn bộ hồ sơ kỹ thuật và quyền chăm sóc được chuyển cho nhân sự khác hoặc Bộ phận Chăm sóc khách hàng. Người giới thiệu ban đầu vẫn được ghi nhận công trạng vào đánh giá cuối năm, nhưng không tiếp tục hưởng hoa hồng riêng từ tài khoản đó. Khách hàng là tài sản của công ty, không của cá nhân.</w:t>
      </w:r>
    </w:p>
    <w:p/>
    <w:p/>
    <w:p>
      <w:pPr>
        <w:pStyle w:val="Heading1"/>
      </w:pPr>
      <w:r>
        <w:t>IV. KẾT LUẬN</w:t>
      </w:r>
    </w:p>
    <w:p>
      <w:r>
        <w:t>Vấn đề cốt lõi của dự thảo: người thực hiện đánh giá (kỹ thuật) đồng thời là người hưởng lợi từ kết quả đánh giá (hoa hồng bán hàng) và cũng là người chi phối nguồn lực chào hàng của công ty. Mâu thuẫn lợi ích này làm mất tính khách quan, dẫn đến lãng phí nguồn lực và rủi ro mất khách hàng.</w:t>
      </w:r>
    </w:p>
    <w:p>
      <w:r>
        <w:t>Chính sách đề xuất giải quyết bằng cách: (1) thưởng theo cột mốc cố định thay vì phần trăm doanh số, (2) luân chuyển tài khoản để khách hàng là tài sản của công ty, và (3) chuyển giai đoạn duy trì sang cơ chế thưởng tập thể để xoá bỏ tư duy cục bộ.</w:t>
      </w:r>
    </w:p>
    <w:p/>
    <w:p/>
    <w:p>
      <w:pPr>
        <w:jc w:val="right"/>
      </w:pPr>
      <w:r>
        <w:t>TP. Hồ Chí Minh, ngày 22 tháng 06 năm 2026</w:t>
        <w:br/>
        <w:br/>
      </w:r>
      <w:r>
        <w:rPr>
          <w:b/>
          <w:sz w:val="22"/>
        </w:rPr>
        <w:t>NGƯỜI PHÂN TÍCH &amp; ĐỀ XUẤT</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