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GIẢI PHÁP SƠN KIM LOẠI HIỆU SUẤT CAO</w:t>
      </w:r>
    </w:p>
    <w:p>
      <w:pPr>
        <w:pStyle w:val="Heading3"/>
      </w:pPr>
      <w:r>
        <w:t>Nhanh khô – Thời gian thi công dài – Bền thời tiết – Hiệu quả sản xuất</w:t>
      </w:r>
    </w:p>
    <w:p>
      <w:pPr>
        <w:pStyle w:val="Heading2"/>
      </w:pPr>
      <w:r>
        <w:t>I. BÀI TOÁN KHÔNG CHỈ LÀ “SƠN CÓ TỐT KHÔNG?”</w:t>
      </w:r>
    </w:p>
    <w:p>
      <w:r>
        <w:t>Trong sản xuất công nghiệp, một hệ sơn kim loại tốt không chỉ cần tạo ra bề mặt đẹp.</w:t>
      </w:r>
    </w:p>
    <w:p>
      <w:r>
        <w:t>Khách hàng ngày càng quan tâm đến những câu hỏi thực tế hơn:</w:t>
      </w:r>
    </w:p>
    <w:p>
      <w:pPr>
        <w:pStyle w:val="ListBullet"/>
      </w:pPr>
      <w:r>
        <w:t>Bao lâu sản phẩm có thể chuyển sang công đoạn tiếp theo?</w:t>
      </w:r>
    </w:p>
    <w:p>
      <w:pPr>
        <w:pStyle w:val="ListBullet"/>
      </w:pPr>
      <w:r>
        <w:t>Sơn sau khi pha có thể sử dụng được bao lâu?</w:t>
      </w:r>
    </w:p>
    <w:p>
      <w:pPr>
        <w:pStyle w:val="ListBullet"/>
      </w:pPr>
      <w:r>
        <w:t>Ngoài trời có giữ được màu và ngoại quan không?</w:t>
      </w:r>
    </w:p>
    <w:p>
      <w:pPr>
        <w:pStyle w:val="ListBullet"/>
      </w:pPr>
      <w:r>
        <w:t>Khả năng bám dính, chống trầy xước và chống ăn mòn như thế nào?</w:t>
      </w:r>
    </w:p>
    <w:p>
      <w:r>
        <w:t>Và quan trọng nhất:</w:t>
      </w:r>
    </w:p>
    <w:p>
      <w:r>
        <w:rPr>
          <w:b/>
        </w:rPr>
        <w:t>Chi phí thực tế để hoàn thiện 1 m² sản phẩm là bao nhiêu?</w:t>
      </w:r>
    </w:p>
    <w:p>
      <w:r>
        <w:t>Bởi giá sơn/kg chỉ là một phần của chi phí. Phần còn lại nằm ở nhân công, thời gian chờ, số lớp sơn, năng lượng, lượng sơn dư phải hủy, hàng sửa chữa và năng suất của cả dây chuyền.</w:t>
      </w:r>
    </w:p>
    <w:p>
      <w:r>
        <w:t>Vì vậy, giải pháp sơn kim loại mới được phát triển theo một mục tiêu đơn giản:</w:t>
      </w:r>
    </w:p>
    <w:p>
      <w:r>
        <w:rPr>
          <w:b/>
        </w:rPr>
        <w:t>Tăng hiệu suất của màng sơn đồng thời tăng hiệu suất của quá trình sản xuất.</w:t>
      </w:r>
    </w:p>
    <w:p>
      <w:pPr>
        <w:pStyle w:val="Heading2"/>
      </w:pPr>
      <w:r>
        <w:t>II. NHANH KHÔ – RÚT NGẮN THỜI GIAN CHỜ</w:t>
      </w:r>
    </w:p>
    <w:p>
      <w:r>
        <w:t>Một trong những ưu điểm nổi bật của hệ sơn là tốc độ khô nhanh.</w:t>
      </w:r>
    </w:p>
    <w:p>
      <w:r>
        <w:t>Trong điều kiện thi công phù hợp:</w:t>
      </w:r>
    </w:p>
    <w:p>
      <w:pPr>
        <w:pStyle w:val="ListBullet"/>
      </w:pPr>
      <w:r>
        <w:t xml:space="preserve">Khô bề mặt: </w:t>
      </w:r>
      <w:r>
        <w:rPr>
          <w:b/>
        </w:rPr>
        <w:t>15–30 phút</w:t>
      </w:r>
    </w:p>
    <w:p>
      <w:pPr>
        <w:pStyle w:val="ListBullet"/>
      </w:pPr>
      <w:r>
        <w:t xml:space="preserve">Khô cứng: </w:t>
      </w:r>
      <w:r>
        <w:rPr>
          <w:b/>
        </w:rPr>
        <w:t>2–4 giờ</w:t>
      </w:r>
    </w:p>
    <w:p>
      <w:pPr>
        <w:pStyle w:val="ListBullet"/>
      </w:pPr>
      <w:r>
        <w:t xml:space="preserve">Đóng rắn hoàn toàn: </w:t>
      </w:r>
      <w:r>
        <w:rPr>
          <w:b/>
        </w:rPr>
        <w:t>khoảng 7 ngày</w:t>
      </w:r>
    </w:p>
    <w:p>
      <w:r>
        <w:t xml:space="preserve">Khi dây chuyền có điều kiện sấy </w:t>
      </w:r>
      <w:r>
        <w:rPr>
          <w:b/>
        </w:rPr>
        <w:t>60–80 °C × 30–45 phút</w:t>
      </w:r>
      <w:r>
        <w:t xml:space="preserve"> có thể tăng tốc quá trình phát triển tính chất màng sơn.</w:t>
      </w:r>
    </w:p>
    <w:p>
      <w:r>
        <w:t>Điều này mang lại lợi ích trực tiếp cho sản xuất:</w:t>
      </w:r>
    </w:p>
    <w:p>
      <w:pPr>
        <w:pStyle w:val="ListBullet"/>
      </w:pPr>
      <w:r>
        <w:t>Giảm thời gian chờ giữa các công đoạn.</w:t>
      </w:r>
    </w:p>
    <w:p>
      <w:pPr>
        <w:pStyle w:val="ListBullet"/>
      </w:pPr>
      <w:r>
        <w:t>Rút ngắn thời gian chiếm dụng khu vực sơn.</w:t>
      </w:r>
    </w:p>
    <w:p>
      <w:pPr>
        <w:pStyle w:val="ListBullet"/>
      </w:pPr>
      <w:r>
        <w:t>Sản phẩm có thể được thao tác và chuyển công đoạn sớm hơn.</w:t>
      </w:r>
    </w:p>
    <w:p>
      <w:pPr>
        <w:pStyle w:val="ListBullet"/>
      </w:pPr>
      <w:r>
        <w:t>Tăng khả năng quay vòng của dây chuyền.</w:t>
      </w:r>
    </w:p>
    <w:p>
      <w:r>
        <w:t>Thay vì chỉ hỏi: *“Sơn này khô nhanh bao nhiêu?”*</w:t>
      </w:r>
    </w:p>
    <w:p>
      <w:r>
        <w:t>Câu hỏi có giá trị kinh tế hơn là: *“Nếu mỗi sản phẩm giảm được vài giờ chờ, một ngày nhà máy có thể tăng thêm bao nhiêu sản phẩm?”*</w:t>
      </w:r>
    </w:p>
    <w:p>
      <w:pPr>
        <w:pStyle w:val="Heading2"/>
      </w:pPr>
      <w:r>
        <w:t>III. THỜI GIAN SỬ DỤNG SAU PHA DÀI – GIẢM SƠN DƯ PHẢI HỦY</w:t>
      </w:r>
    </w:p>
    <w:p>
      <w:r>
        <w:t>Đối với sơn 2 thành phần, một vấn đề thường gặp là thời gian sử dụng hỗn hợp sau pha tương đối ngắn. Nếu dây chuyền dừng hoặc sản lượng thay đổi, lượng sơn đã pha có thể không còn sử dụng được.</w:t>
      </w:r>
    </w:p>
    <w:p>
      <w:r>
        <w:t xml:space="preserve">Hệ sơn mới có pot life tham khảo </w:t>
      </w:r>
      <w:r>
        <w:rPr>
          <w:b/>
        </w:rPr>
        <w:t>8–24 giờ</w:t>
      </w:r>
      <w:r>
        <w:t>, tạo ra khoảng thời gian thao tác rộng hơn cho sản xuất.</w:t>
      </w:r>
    </w:p>
    <w:p>
      <w:r>
        <w:t>So với nhiều hệ 2 thành phần truyền thống có pot life chỉ vài giờ, lợi ích không chỉ nằm ở việc “dễ thi công hơn”. Lợi ích thực sự là:</w:t>
      </w:r>
    </w:p>
    <w:p>
      <w:pPr>
        <w:pStyle w:val="ListBullet"/>
      </w:pPr>
      <w:r>
        <w:t>Giảm số lần pha sơn trong ngày.</w:t>
      </w:r>
    </w:p>
    <w:p>
      <w:pPr>
        <w:pStyle w:val="ListBullet"/>
      </w:pPr>
      <w:r>
        <w:t>Giảm lượng sơn dư phải loại bỏ.</w:t>
      </w:r>
    </w:p>
    <w:p>
      <w:pPr>
        <w:pStyle w:val="ListBullet"/>
      </w:pPr>
      <w:r>
        <w:t>Giảm áp lực phải sử dụng hết sơn ngay sau khi pha.</w:t>
      </w:r>
    </w:p>
    <w:p>
      <w:pPr>
        <w:pStyle w:val="ListBullet"/>
      </w:pPr>
      <w:r>
        <w:t>Linh hoạt hơn khi dây chuyền tạm dừng hoặc thay đổi kế hoạch sản xuất.</w:t>
      </w:r>
    </w:p>
    <w:p>
      <w:r>
        <w:t>Với điều kiện nhiệt độ thực tế của từng nhà máy, thời gian sử dụng tối đa nên được xác nhận bằng trial trước khi đưa vào quy trình sản xuất chính thức.</w:t>
      </w:r>
    </w:p>
    <w:p>
      <w:pPr>
        <w:pStyle w:val="Heading2"/>
      </w:pPr>
      <w:r>
        <w:t>IV. BỀN THỜI TIẾT – HƯỚNG ĐẾN ỨNG DỤNG NGOÀI TRỜI</w:t>
      </w:r>
    </w:p>
    <w:p>
      <w:r>
        <w:t>Đối với sản phẩm kim loại sử dụng ngoài trời, ngoại quan ban đầu đẹp là chưa đủ. Sau nhiều tháng hoặc nhiều mùa mưa nắng, màng sơn còn phải đối mặt với: tia UV – nhiệt độ – độ ẩm – nước – thay đổi nhiệt độ – ô nhiễm môi trường.</w:t>
      </w:r>
    </w:p>
    <w:p>
      <w:r>
        <w:t>Hệ sơn được thiết kế theo hướng duy trì tốt màu sắc, độ bóng và ngoại quan, đồng thời hạn chế hiện tượng phấn hóa và biến đổi màu thường gặp ở một số hệ sơn truyền thống khi tiếp xúc UV kéo dài.</w:t>
      </w:r>
    </w:p>
    <w:p>
      <w:r>
        <w:t>Vì vậy, khi đánh giá độ bền ngoài trời, không nên chỉ nhìn vào độ bóng ban đầu. Các chỉ tiêu quan trọng cần theo dõi là:</w:t>
      </w:r>
    </w:p>
    <w:p>
      <w:pPr>
        <w:pStyle w:val="ListBullet"/>
      </w:pPr>
      <w:r>
        <w:rPr>
          <w:b/>
        </w:rPr>
        <w:t>Gloss retention</w:t>
      </w:r>
    </w:p>
    <w:p>
      <w:pPr>
        <w:pStyle w:val="ListBullet"/>
      </w:pPr>
      <w:r>
        <w:rPr>
          <w:b/>
        </w:rPr>
        <w:t>ΔE</w:t>
      </w:r>
      <w:r>
        <w:t xml:space="preserve"> – mức thay đổi màu</w:t>
      </w:r>
    </w:p>
    <w:p>
      <w:pPr>
        <w:pStyle w:val="ListBullet"/>
      </w:pPr>
      <w:r>
        <w:rPr>
          <w:b/>
        </w:rPr>
        <w:t>Chalking</w:t>
      </w:r>
      <w:r>
        <w:t xml:space="preserve"> – mức độ phấn hóa</w:t>
      </w:r>
    </w:p>
    <w:p>
      <w:pPr>
        <w:pStyle w:val="ListBullet"/>
      </w:pPr>
      <w:r>
        <w:rPr>
          <w:b/>
        </w:rPr>
        <w:t>Blistering</w:t>
      </w:r>
      <w:r>
        <w:t xml:space="preserve"> – phồng rộp</w:t>
      </w:r>
    </w:p>
    <w:p>
      <w:pPr>
        <w:pStyle w:val="ListBullet"/>
      </w:pPr>
      <w:r>
        <w:rPr>
          <w:b/>
        </w:rPr>
        <w:t>Corrosion</w:t>
      </w:r>
      <w:r>
        <w:t xml:space="preserve"> – ăn mòn</w:t>
      </w:r>
    </w:p>
    <w:p>
      <w:pPr>
        <w:pStyle w:val="ListBullet"/>
      </w:pPr>
      <w:r>
        <w:rPr>
          <w:b/>
        </w:rPr>
        <w:t>Adhesion retention</w:t>
      </w:r>
      <w:r>
        <w:t xml:space="preserve"> – khả năng duy trì độ bám dính</w:t>
      </w:r>
    </w:p>
    <w:p>
      <w:r>
        <w:t>Độ bền thời tiết cần được chứng minh bằng thử nghiệm gia tốc và, khi có thể, dữ liệu phơi ngoài trời thực tế.</w:t>
      </w:r>
    </w:p>
    <w:p>
      <w:pPr>
        <w:pStyle w:val="Heading2"/>
      </w:pPr>
      <w:r>
        <w:t>V. BÁM DÍNH TỐT – MÀNG SƠN CỨNG VÀ BỀN CƠ HỌC</w:t>
      </w:r>
    </w:p>
    <w:p>
      <w:r>
        <w:t>Một màng sơn kim loại không chỉ cần đẹp mà còn phải chịu được quá trình sản xuất, vận chuyển, lắp ráp và sử dụng.</w:t>
      </w:r>
    </w:p>
    <w:p>
      <w:r>
        <w:t>Các chỉ tiêu hiệu năng tham khảo gồm:</w:t>
      </w:r>
    </w:p>
    <w:p>
      <w:pPr>
        <w:pStyle w:val="ListBullet"/>
      </w:pPr>
      <w:r>
        <w:t xml:space="preserve">Độ bám dính: </w:t>
      </w:r>
      <w:r>
        <w:rPr>
          <w:b/>
        </w:rPr>
        <w:t>5B</w:t>
      </w:r>
      <w:r>
        <w:t xml:space="preserve"> – ASTM D3359</w:t>
      </w:r>
    </w:p>
    <w:p>
      <w:pPr>
        <w:pStyle w:val="ListBullet"/>
      </w:pPr>
      <w:r>
        <w:t xml:space="preserve">Độ cứng bút chì: </w:t>
      </w:r>
      <w:r>
        <w:rPr>
          <w:b/>
        </w:rPr>
        <w:t>2H–3H</w:t>
      </w:r>
      <w:r>
        <w:t xml:space="preserve"> sau 7 ngày</w:t>
      </w:r>
    </w:p>
    <w:p>
      <w:pPr>
        <w:pStyle w:val="ListBullet"/>
      </w:pPr>
      <w:r>
        <w:rPr>
          <w:b/>
        </w:rPr>
        <w:t>König hardness: &gt;140 giây</w:t>
      </w:r>
    </w:p>
    <w:p>
      <w:r>
        <w:t>Nhờ đó, màng sơn hướng tới khả năng chịu tốt hơn các tác động cơ học thường gặp trong quá trình thao tác và sử dụng.</w:t>
      </w:r>
    </w:p>
    <w:p>
      <w:r>
        <w:t>Đối với từng ứng dụng cụ thể, có thể bổ sung thêm các thử nghiệm:</w:t>
      </w:r>
    </w:p>
    <w:p>
      <w:pPr>
        <w:pStyle w:val="ListBullet"/>
      </w:pPr>
      <w:r>
        <w:t>Impact resistance</w:t>
      </w:r>
    </w:p>
    <w:p>
      <w:pPr>
        <w:pStyle w:val="ListBullet"/>
      </w:pPr>
      <w:r>
        <w:t>Bending/Flexibility</w:t>
      </w:r>
    </w:p>
    <w:p>
      <w:pPr>
        <w:pStyle w:val="ListBullet"/>
      </w:pPr>
      <w:r>
        <w:t>Abrasion resistance</w:t>
      </w:r>
    </w:p>
    <w:p>
      <w:pPr>
        <w:pStyle w:val="ListBullet"/>
      </w:pPr>
      <w:r>
        <w:t>Scratch resistance</w:t>
      </w:r>
    </w:p>
    <w:p>
      <w:r>
        <w:t>để đánh giá toàn diện hơn khả năng bảo vệ sản phẩm.</w:t>
      </w:r>
    </w:p>
    <w:p>
      <w:pPr>
        <w:pStyle w:val="Heading2"/>
      </w:pPr>
      <w:r>
        <w:t>VI. CHỐNG ĂN MÒN – BẢO VỆ KIM LOẠI</w:t>
      </w:r>
    </w:p>
    <w:p>
      <w:r>
        <w:t>Đối với kim loại, lớp sơn đẹp nhưng không bảo vệ được nền khỏi ăn mòn thì chưa hoàn thành chức năng quan trọng nhất của một coating bảo vệ.</w:t>
      </w:r>
    </w:p>
    <w:p>
      <w:r>
        <w:t>Tùy hệ thống nền – xử lý bề mặt – primer – topcoat – chiều dày màng, khả năng kháng môi trường muối có thể được đánh giá theo:</w:t>
      </w:r>
    </w:p>
    <w:p>
      <w:r>
        <w:rPr>
          <w:b/>
        </w:rPr>
        <w:t>ASTM B117: 500–1.000 giờ</w:t>
      </w:r>
    </w:p>
    <w:p>
      <w:r>
        <w:t>Kết quả cần được đánh giá đồng thời với tình trạng:</w:t>
      </w:r>
    </w:p>
    <w:p>
      <w:pPr>
        <w:pStyle w:val="ListBullet"/>
      </w:pPr>
      <w:r>
        <w:t>Rỉ sét</w:t>
      </w:r>
    </w:p>
    <w:p>
      <w:pPr>
        <w:pStyle w:val="ListBullet"/>
      </w:pPr>
      <w:r>
        <w:t>Phồng rộp</w:t>
      </w:r>
    </w:p>
    <w:p>
      <w:pPr>
        <w:pStyle w:val="ListBullet"/>
      </w:pPr>
      <w:r>
        <w:t>Ăn mòn lan từ vết rạch</w:t>
      </w:r>
    </w:p>
    <w:p>
      <w:pPr>
        <w:pStyle w:val="ListBullet"/>
      </w:pPr>
      <w:r>
        <w:t>Mất bám dính</w:t>
      </w:r>
    </w:p>
    <w:p>
      <w:pPr>
        <w:pStyle w:val="ListBullet"/>
      </w:pPr>
      <w:r>
        <w:t>Thay đổi ngoại quan</w:t>
      </w:r>
    </w:p>
    <w:p>
      <w:r>
        <w:t xml:space="preserve">Một điểm rất quan trọng: </w:t>
      </w:r>
      <w:r>
        <w:rPr>
          <w:b/>
        </w:rPr>
        <w:t>khả năng chống ăn mòn là tính năng của cả hệ thống sơn, không chỉ của riêng lớp phủ cuối.</w:t>
      </w:r>
      <w:r>
        <w:t xml:space="preserve"> Do đó, xử lý bề mặt và DFT vẫn đóng vai trò quyết định.</w:t>
      </w:r>
    </w:p>
    <w:p>
      <w:pPr>
        <w:pStyle w:val="Heading2"/>
      </w:pPr>
      <w:r>
        <w:t>VII. KHÁNG DUNG MÔI VÀ HÓA CHẤT</w:t>
      </w:r>
    </w:p>
    <w:p>
      <w:r>
        <w:t>Sau khi đóng rắn hoàn toàn, màng sơn có khả năng kháng dung môi tốt, với mức tham khảo:</w:t>
      </w:r>
    </w:p>
    <w:p>
      <w:r>
        <w:rPr>
          <w:b/>
        </w:rPr>
        <w:t>MEK Resistance: 50–100 double rubs</w:t>
      </w:r>
    </w:p>
    <w:p>
      <w:r>
        <w:t>Tùy lĩnh vực sử dụng, hệ thống có thể tiếp tục được đánh giá với: nước, chất tẩy rửa, dầu mỡ, alcohol, acid hoặc kiềm ở nồng độ phù hợp với điều kiện sử dụng thực tế.</w:t>
      </w:r>
    </w:p>
    <w:p>
      <w:r>
        <w:t>Điểm quan trọng là phải đánh giá sau khi màng sơn đã đạt mức đóng rắn quy định. Một màng sơn khô để cầm nắm không có nghĩa là đã đạt 100% tính chất hóa học cuối cùng.</w:t>
      </w:r>
    </w:p>
    <w:p>
      <w:pPr>
        <w:pStyle w:val="Heading2"/>
      </w:pPr>
      <w:r>
        <w:t>VIII. NGOẠI QUAN LINH HOẠT</w:t>
      </w:r>
    </w:p>
    <w:p>
      <w:r>
        <w:t>Hệ sơn có thể được thiết kế với ngoại quan từ mờ đến bán bóng, với mức độ bóng tham khảo:</w:t>
      </w:r>
    </w:p>
    <w:p>
      <w:r>
        <w:rPr>
          <w:b/>
        </w:rPr>
        <w:t>20–45 GU @ 60°</w:t>
      </w:r>
    </w:p>
    <w:p>
      <w:r>
        <w:t>Tùy yêu cầu sản phẩm, có thể phát triển các mức độ bóng, màu sắc và hiệu ứng bề mặt khác nhau. Điều này giúp hệ sơn phù hợp với nhiều nhóm sản phẩm kim loại từ thiết bị công nghiệp đến các sản phẩm yêu cầu cao về tính thẩm mỹ.</w:t>
      </w:r>
    </w:p>
    <w:p>
      <w:pPr>
        <w:pStyle w:val="Heading2"/>
      </w:pPr>
      <w:r>
        <w:t>IX. AN TOÀN PHẢI ĐƯỢC NÓI ĐÚNG</w:t>
      </w:r>
    </w:p>
    <w:p>
      <w:r>
        <w:t>Một ưu điểm đáng chú ý của hệ là không sử dụng isocyanate trong cơ chế đóng rắn. Điều này giúp giảm một nhóm rủi ro phơi nhiễm nghề nghiệp liên quan đến isocyanate trong quá trình pha và thi công.</w:t>
      </w:r>
    </w:p>
    <w:p>
      <w:r>
        <w:t>Tuy nhiên:</w:t>
      </w:r>
    </w:p>
    <w:p>
      <w:r>
        <w:rPr>
          <w:b/>
        </w:rPr>
        <w:t>Không isocyanate ≠ không dung môi.</w:t>
      </w:r>
    </w:p>
    <w:p>
      <w:r>
        <w:t xml:space="preserve">Sản phẩm vẫn là hệ có hàm lượng dung môi đáng kể. VOC ước tính khoảng </w:t>
      </w:r>
      <w:r>
        <w:rPr>
          <w:b/>
        </w:rPr>
        <w:t>480–550 g/L</w:t>
      </w:r>
      <w:r>
        <w:t xml:space="preserve"> và trong quá trình thi công vẫn có mùi dung môi rõ.</w:t>
      </w:r>
    </w:p>
    <w:p>
      <w:r>
        <w:t xml:space="preserve">Do đó, vẫn phải thực hiện đầy đủ các yêu cầu về: </w:t>
      </w:r>
      <w:r>
        <w:rPr>
          <w:b/>
        </w:rPr>
        <w:t>thông gió – PPE – phòng chống cháy nổ – bảo quản hóa chất – hướng dẫn SDS.</w:t>
      </w:r>
    </w:p>
    <w:p>
      <w:r>
        <w:t>Thông điệp đúng không phải: *“Đây là sơn xanh, VOC thấp.”*</w:t>
      </w:r>
    </w:p>
    <w:p>
      <w:r>
        <w:t>Mà là:</w:t>
      </w:r>
    </w:p>
    <w:p>
      <w:r>
        <w:rPr>
          <w:i/>
        </w:rPr>
        <w:t>“Đây là giải pháp sơn 2 thành phần không isocyanate, giúp giảm một nhóm rủi ro phơi nhiễm cho người thi công trong khi vẫn hướng đến hiệu năng cao cho ứng dụng kim loại.”</w:t>
      </w:r>
    </w:p>
    <w:p>
      <w:pPr>
        <w:pStyle w:val="Heading2"/>
      </w:pPr>
      <w:r>
        <w:t>X. HIỆU QUẢ KINH TẾ – ĐỪNG CHỈ SO GIÁ SƠN/KG</w:t>
      </w:r>
    </w:p>
    <w:p>
      <w:r>
        <w:t>Hai loại sơn có thể chênh lệch đáng kể về giá/kg nhưng điều đó chưa cho biết hệ nào kinh tế hơn.</w:t>
      </w:r>
    </w:p>
    <w:p>
      <w:r>
        <w:t xml:space="preserve">Điều cần so sánh là: </w:t>
      </w:r>
      <w:r>
        <w:rPr>
          <w:b/>
        </w:rPr>
        <w:t>TOTAL APPLIED COST / m²</w:t>
      </w:r>
    </w:p>
    <w:p>
      <w:r>
        <w:t>Bao gồm: chi phí sơn + dung môi + nhân công + năng lượng + hao hụt + thời gian chờ + sơn dư do hết pot life + chi phí sửa hàng lỗi.</w:t>
      </w:r>
    </w:p>
    <w:p>
      <w:r>
        <w:t>Ví dụ, nếu một hệ sơn có giá/kg cao hơn nhưng:</w:t>
      </w:r>
    </w:p>
    <w:p>
      <w:pPr>
        <w:pStyle w:val="ListBullet"/>
      </w:pPr>
      <w:r>
        <w:t>khô nhanh hơn,</w:t>
      </w:r>
    </w:p>
    <w:p>
      <w:pPr>
        <w:pStyle w:val="ListBullet"/>
      </w:pPr>
      <w:r>
        <w:t>pot life dài hơn,</w:t>
      </w:r>
    </w:p>
    <w:p>
      <w:pPr>
        <w:pStyle w:val="ListBullet"/>
      </w:pPr>
      <w:r>
        <w:t>giảm số lần pha,</w:t>
      </w:r>
    </w:p>
    <w:p>
      <w:pPr>
        <w:pStyle w:val="ListBullet"/>
      </w:pPr>
      <w:r>
        <w:t>giảm lượng sơn phải hủy,</w:t>
      </w:r>
    </w:p>
    <w:p>
      <w:pPr>
        <w:pStyle w:val="ListBullet"/>
      </w:pPr>
      <w:r>
        <w:t>giảm thời gian chờ,</w:t>
      </w:r>
    </w:p>
    <w:p>
      <w:r>
        <w:t>thì tổng chi phí sản xuất trên mỗi m² có thể cạnh tranh hơn đáng kể.</w:t>
      </w:r>
    </w:p>
    <w:p>
      <w:r>
        <w:t>Đây mới là con số nên được sử dụng để đưa ra quyết định.</w:t>
      </w:r>
    </w:p>
    <w:p>
      <w:pPr>
        <w:pStyle w:val="Heading2"/>
      </w:pPr>
      <w:r>
        <w:t>XI. HÃY ĐỂ TRIAL TRẢ LỜI</w:t>
      </w:r>
    </w:p>
    <w:p>
      <w:r>
        <w:t>Không có một hệ sơn nào tốt nhất cho mọi nền kim loại và mọi điều kiện sản xuất. Vì vậy, bước tiếp theo không phải là thay ngay hệ sơn đang sử dụng. Hãy chọn một sản phẩm thực tế và tiến hành trial trong điều kiện sản xuất của nhà máy.</w:t>
      </w:r>
    </w:p>
    <w:p>
      <w:r>
        <w:t xml:space="preserve">Hai bên thống nhất trước: </w:t>
      </w:r>
      <w:r>
        <w:rPr>
          <w:b/>
        </w:rPr>
        <w:t>nền kim loại – xử lý bề mặt – primer – DFT – điều kiện sấy – tiêu chí Pass/Fail.</w:t>
      </w:r>
    </w:p>
    <w:p>
      <w:r>
        <w:t>Sau đó đo trực tiếp:</w:t>
      </w:r>
    </w:p>
    <w:p>
      <w:pPr>
        <w:pStyle w:val="ListNumber"/>
      </w:pPr>
      <w:r>
        <w:t>Thời gian khô</w:t>
      </w:r>
    </w:p>
    <w:p>
      <w:pPr>
        <w:pStyle w:val="ListNumber"/>
      </w:pPr>
      <w:r>
        <w:t>Pot life</w:t>
      </w:r>
    </w:p>
    <w:p>
      <w:pPr>
        <w:pStyle w:val="ListNumber"/>
      </w:pPr>
      <w:r>
        <w:t>Độ bám dính</w:t>
      </w:r>
    </w:p>
    <w:p>
      <w:pPr>
        <w:pStyle w:val="ListNumber"/>
      </w:pPr>
      <w:r>
        <w:t>Độ cứng và kháng hóa chất</w:t>
      </w:r>
    </w:p>
    <w:p>
      <w:pPr>
        <w:pStyle w:val="ListNumber"/>
      </w:pPr>
      <w:r>
        <w:t>Chi phí hoàn thiện/m²</w:t>
      </w:r>
    </w:p>
    <w:p>
      <w:r>
        <w:t>Nếu sản phẩm vượt qua các tiêu chí đã thống nhất, chúng ta mới chuyển sang bước đánh giá ở quy mô sản xuất lớn hơn.</w:t>
      </w:r>
    </w:p>
    <w:p>
      <w:pPr>
        <w:pStyle w:val="Heading2"/>
      </w:pPr>
      <w:r>
        <w:t>6 CON SỐ CẦN NHỚ</w:t>
      </w:r>
    </w:p>
    <w:tbl>
      <w:tblPr>
        <w:tblStyle w:val="TableGrid"/>
        <w:tblW w:type="auto" w:w="0"/>
        <w:tblLook w:firstColumn="1" w:firstRow="1" w:lastColumn="0" w:lastRow="0" w:noHBand="0" w:noVBand="1" w:val="04A0"/>
      </w:tblPr>
      <w:tblGrid>
        <w:gridCol w:w="4819"/>
        <w:gridCol w:w="4819"/>
      </w:tblGrid>
      <w:tr>
        <w:tc>
          <w:tcPr>
            <w:tcW w:type="dxa" w:w="4819"/>
          </w:tcPr>
          <w:p>
            <w:r>
              <w:rPr>
                <w:b/>
              </w:rPr>
              <w:t>Con số</w:t>
            </w:r>
          </w:p>
        </w:tc>
        <w:tc>
          <w:tcPr>
            <w:tcW w:type="dxa" w:w="4819"/>
          </w:tcPr>
          <w:p>
            <w:r>
              <w:rPr>
                <w:b/>
              </w:rPr>
              <w:t>Ý nghĩa</w:t>
            </w:r>
          </w:p>
        </w:tc>
      </w:tr>
      <w:tr>
        <w:tc>
          <w:tcPr>
            <w:tcW w:type="dxa" w:w="4819"/>
          </w:tcPr>
          <w:p>
            <w:r>
              <w:rPr>
                <w:b/>
              </w:rPr>
              <w:t>15–30 phút</w:t>
            </w:r>
          </w:p>
        </w:tc>
        <w:tc>
          <w:tcPr>
            <w:tcW w:type="dxa" w:w="4819"/>
          </w:tcPr>
          <w:p>
            <w:r>
              <w:t>Khô bề mặt</w:t>
            </w:r>
          </w:p>
        </w:tc>
      </w:tr>
      <w:tr>
        <w:tc>
          <w:tcPr>
            <w:tcW w:type="dxa" w:w="4819"/>
          </w:tcPr>
          <w:p>
            <w:r>
              <w:rPr>
                <w:b/>
              </w:rPr>
              <w:t>2–4 giờ</w:t>
            </w:r>
          </w:p>
        </w:tc>
        <w:tc>
          <w:tcPr>
            <w:tcW w:type="dxa" w:w="4819"/>
          </w:tcPr>
          <w:p>
            <w:r>
              <w:t>Khô cứng</w:t>
            </w:r>
          </w:p>
        </w:tc>
      </w:tr>
      <w:tr>
        <w:tc>
          <w:tcPr>
            <w:tcW w:type="dxa" w:w="4819"/>
          </w:tcPr>
          <w:p>
            <w:r>
              <w:rPr>
                <w:b/>
              </w:rPr>
              <w:t>8–24 giờ</w:t>
            </w:r>
          </w:p>
        </w:tc>
        <w:tc>
          <w:tcPr>
            <w:tcW w:type="dxa" w:w="4819"/>
          </w:tcPr>
          <w:p>
            <w:r>
              <w:t>Pot life</w:t>
            </w:r>
          </w:p>
        </w:tc>
      </w:tr>
      <w:tr>
        <w:tc>
          <w:tcPr>
            <w:tcW w:type="dxa" w:w="4819"/>
          </w:tcPr>
          <w:p>
            <w:r>
              <w:rPr>
                <w:b/>
              </w:rPr>
              <w:t>5B</w:t>
            </w:r>
          </w:p>
        </w:tc>
        <w:tc>
          <w:tcPr>
            <w:tcW w:type="dxa" w:w="4819"/>
          </w:tcPr>
          <w:p>
            <w:r>
              <w:t>Độ bám dính ASTM D3359</w:t>
            </w:r>
          </w:p>
        </w:tc>
      </w:tr>
      <w:tr>
        <w:tc>
          <w:tcPr>
            <w:tcW w:type="dxa" w:w="4819"/>
          </w:tcPr>
          <w:p>
            <w:r>
              <w:rPr>
                <w:b/>
              </w:rPr>
              <w:t>2H–3H</w:t>
            </w:r>
          </w:p>
        </w:tc>
        <w:tc>
          <w:tcPr>
            <w:tcW w:type="dxa" w:w="4819"/>
          </w:tcPr>
          <w:p>
            <w:r>
              <w:t>Độ cứng bút chì sau 7 ngày</w:t>
            </w:r>
          </w:p>
        </w:tc>
      </w:tr>
      <w:tr>
        <w:tc>
          <w:tcPr>
            <w:tcW w:type="dxa" w:w="4819"/>
          </w:tcPr>
          <w:p>
            <w:r>
              <w:rPr>
                <w:b/>
              </w:rPr>
              <w:t>500–1.000 giờ</w:t>
            </w:r>
          </w:p>
        </w:tc>
        <w:tc>
          <w:tcPr>
            <w:tcW w:type="dxa" w:w="4819"/>
          </w:tcPr>
          <w:p>
            <w:r>
              <w:t>Kháng Salt Spray ASTM B117</w:t>
            </w:r>
          </w:p>
        </w:tc>
      </w:tr>
    </w:tbl>
    <w:p>
      <w:r>
        <w:t xml:space="preserve">Và cuối cùng, con số quan trọng nhất đối với nhà máy: </w:t>
      </w:r>
      <w:r>
        <w:rPr>
          <w:b/>
        </w:rPr>
        <w:t>TOTAL APPLIED COST / m²</w:t>
      </w:r>
    </w:p>
    <w:p>
      <w:r>
        <w:t>Một hệ sơn hiệu quả không chỉ bảo vệ tốt sản phẩm. Nó phải giúp cả quá trình sản xuất hiệu quả hơn.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