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GIẢI PHÁP SƠN KIM LOẠI 2K NISO ACRYLIC–EPOXY</w:t>
      </w:r>
    </w:p>
    <w:p>
      <w:pPr>
        <w:pStyle w:val="Heading3"/>
      </w:pPr>
      <w:r>
        <w:t>Nhanh khô – Pot life dài – Bền thời tiết – Không isocyanate</w:t>
      </w:r>
    </w:p>
    <w:p>
      <w:pPr>
        <w:pStyle w:val="Heading2"/>
      </w:pPr>
      <w:r>
        <w:t>I. Bắt đầu từ bài toán thực tế của khách hàng</w:t>
      </w:r>
    </w:p>
    <w:p>
      <w:r>
        <w:t>Khi đánh giá một hệ sơn kim loại công nghiệp, giá sơn trên mỗi kilogram chưa phản ánh đầy đủ chi phí thực tế.</w:t>
      </w:r>
    </w:p>
    <w:p>
      <w:r>
        <w:t>Chi phí thực sự còn nằm ở thời gian chờ giữa các lớp, số công đoạn thi công, nhân công, thời gian chiếm dụng khu vực sản xuất, lượng sơn phải loại bỏ sau khi hết pot life và chi phí sửa chữa những sản phẩm không đạt.</w:t>
      </w:r>
    </w:p>
    <w:p>
      <w:r>
        <w:t>Với các hệ 2K truyền thống, đặc biệt là 2K PU hoặc epoxy–amine, nhà sản xuất còn phải kiểm soát thời gian sống của hỗn hợp sau pha, điều kiện nhiệt độ – độ ẩm và khả năng duy trì ngoại quan khi sản phẩm được sử dụng ngoài trời.</w:t>
      </w:r>
    </w:p>
    <w:p>
      <w:r>
        <w:t>Vì vậy, thay vì chỉ so sánh giá/kg, chúng ta nên nhìn vào những con số ảnh hưởng trực tiếp đến hiệu quả sản xuất:</w:t>
      </w:r>
    </w:p>
    <w:p>
      <w:r>
        <w:rPr>
          <w:b/>
        </w:rPr>
        <w:t>Thời gian khô – Pot life – Độ bền thời tiết – Số lớp cần phủ – Tổng chi phí trên mỗi m² hoàn thiện.</w:t>
      </w:r>
    </w:p>
    <w:p>
      <w:pPr>
        <w:pStyle w:val="Heading2"/>
      </w:pPr>
      <w:r>
        <w:t>II. Công nghệ NISO Acrylic–Epoxy là gì?</w:t>
      </w:r>
    </w:p>
    <w:p>
      <w:r>
        <w:t>Đây là hệ sơn 2 thành phần không sử dụng isocyanate – NISO (Non-Isocyanate).</w:t>
      </w:r>
    </w:p>
    <w:p>
      <w:r>
        <w:t>Thành phần polymer được thiết kế với acrylic là thành phần nhựa chủ đạo, chiếm gần 80% lượng nhựa, trong khi thành phần epoxy chỉ khoảng 3%.</w:t>
      </w:r>
    </w:p>
    <w:p>
      <w:r>
        <w:t>Thiết kế này nhằm kết hợp hai nhóm tính năng:</w:t>
      </w:r>
    </w:p>
    <w:p>
      <w:pPr>
        <w:pStyle w:val="ListBullet"/>
      </w:pPr>
      <w:r>
        <w:rPr>
          <w:b/>
        </w:rPr>
        <w:t>Acrylic:</w:t>
      </w:r>
      <w:r>
        <w:t xml:space="preserve"> khả năng giữ màu, giữ bóng và bền thời tiết.</w:t>
      </w:r>
    </w:p>
    <w:p>
      <w:pPr>
        <w:pStyle w:val="ListBullet"/>
      </w:pPr>
      <w:r>
        <w:rPr>
          <w:b/>
        </w:rPr>
        <w:t>Epoxy:</w:t>
      </w:r>
      <w:r>
        <w:t xml:space="preserve"> hỗ trợ phản ứng đóng rắn, độ cứng, bám dính và khả năng kháng hóa chất.</w:t>
      </w:r>
    </w:p>
    <w:p>
      <w:r>
        <w:t>Điểm khác biệt quan trọng là hệ không sử dụng chất đóng rắn polyisocyanate như sơn PU 2K thông thường.</w:t>
      </w:r>
    </w:p>
    <w:p>
      <w:r>
        <w:t>Do đó, định vị phù hợp của sản phẩm là:</w:t>
      </w:r>
    </w:p>
    <w:p>
      <w:r>
        <w:rPr>
          <w:i/>
        </w:rPr>
        <w:t>“Sơn 2 thành phần không isocyanate – hướng tới độ bền thời tiết của hệ PU aliphatic, đồng thời giảm rủi ro phơi nhiễm isocyanate cho người thi công.”</w:t>
      </w:r>
    </w:p>
    <w:p>
      <w:r>
        <w:t>Đây không phải hệ sơn VOC thấp. VOC ước tính khoảng 480–550 g/L và tổng dung môi khi thi công có thể chiếm khoảng 45–50% khối lượng. Hệ có sử dụng acetone nên mùi dung môi trong quá trình thi công vẫn rõ.</w:t>
      </w:r>
    </w:p>
    <w:p>
      <w:r>
        <w:t>Vì vậy, lợi ích môi trường và an toàn cần được truyền đạt chính xác là không sử dụng isocyanate, chứ không nên quảng bá là “sơn xanh”, “không dung môi” hoặc “VOC thấp”.</w:t>
      </w:r>
    </w:p>
    <w:p>
      <w:pPr>
        <w:pStyle w:val="Heading2"/>
      </w:pPr>
      <w:r>
        <w:t>III. 5 GIÁ TRỊ KỸ THUẬT CHÍNH</w:t>
      </w:r>
    </w:p>
    <w:p>
      <w:pPr>
        <w:pStyle w:val="Heading3"/>
      </w:pPr>
      <w:r>
        <w:t>1. NISO – Không sử dụng isocyanate</w:t>
      </w:r>
    </w:p>
    <w:p>
      <w:r>
        <w:t>Ở hệ PU 2K truyền thống, thành phần đóng rắn thường dựa trên polyisocyanate. Với hệ NISO Acrylic–Epoxy, quá trình đóng rắn không phụ thuộc vào isocyanate.</w:t>
      </w:r>
    </w:p>
    <w:p>
      <w:r>
        <w:t>Điều này tạo ra một hướng tiếp cận khác cho những ứng dụng cần đồng thời: độ bền thời tiết + độ cứng + bám dính + thời gian thao tác dài, nhưng muốn giảm rủi ro liên quan đến isocyanate trong quá trình pha và thi công.</w:t>
      </w:r>
    </w:p>
    <w:p>
      <w:r>
        <w:t>Tuy nhiên, NISO không đồng nghĩa với VOC thấp. Người thi công vẫn phải tuân thủ yêu cầu thông gió, PPE và hướng dẫn an toàn dung môi trong SDS.</w:t>
      </w:r>
    </w:p>
    <w:p>
      <w:pPr>
        <w:pStyle w:val="Heading3"/>
      </w:pPr>
      <w:r>
        <w:t>2. Nhanh khô – rút ngắn chu kỳ sản xuất</w:t>
      </w:r>
    </w:p>
    <w:p>
      <w:r>
        <w:t>Ở điều kiện thi công phù hợp, hệ có thời gian khô tham khảo:</w:t>
      </w:r>
    </w:p>
    <w:p>
      <w:pPr>
        <w:pStyle w:val="ListBullet"/>
      </w:pPr>
      <w:r>
        <w:t xml:space="preserve">Khô bề mặt: </w:t>
      </w:r>
      <w:r>
        <w:rPr>
          <w:b/>
        </w:rPr>
        <w:t>15–30 phút</w:t>
      </w:r>
    </w:p>
    <w:p>
      <w:pPr>
        <w:pStyle w:val="ListBullet"/>
      </w:pPr>
      <w:r>
        <w:t xml:space="preserve">Khô cứng: </w:t>
      </w:r>
      <w:r>
        <w:rPr>
          <w:b/>
        </w:rPr>
        <w:t>2–4 giờ</w:t>
      </w:r>
    </w:p>
    <w:p>
      <w:pPr>
        <w:pStyle w:val="ListBullet"/>
      </w:pPr>
      <w:r>
        <w:t xml:space="preserve">Đóng rắn hoàn toàn: </w:t>
      </w:r>
      <w:r>
        <w:rPr>
          <w:b/>
        </w:rPr>
        <w:t>khoảng 7 ngày</w:t>
      </w:r>
    </w:p>
    <w:p>
      <w:r>
        <w:t xml:space="preserve">Khi áp dụng chế độ sấy </w:t>
      </w:r>
      <w:r>
        <w:rPr>
          <w:b/>
        </w:rPr>
        <w:t>60–80 °C × 30–45 phút</w:t>
      </w:r>
      <w:r>
        <w:t xml:space="preserve"> có thể tăng tốc đáng kể quá trình phát triển tính chất màng sơn.</w:t>
      </w:r>
    </w:p>
    <w:p>
      <w:r>
        <w:t xml:space="preserve">Điểm cần phân biệt khi trao đổi với khách hàng là: </w:t>
      </w:r>
      <w:r>
        <w:rPr>
          <w:b/>
        </w:rPr>
        <w:t>“khô” không đồng nghĩa với “đóng rắn hoàn toàn”</w:t>
      </w:r>
      <w:r>
        <w:t>. Sản phẩm có thể đủ khô để thao tác hoặc chuyển công đoạn sau vài giờ, nhưng các tính chất cuối cùng như độ cứng, kháng dung môi và kháng hóa chất tiếp tục phát triển trong quá trình đóng rắn. Điều này đặc biệt quan trọng đối với dây chuyền cần tăng tốc độ quay vòng sản phẩm.</w:t>
      </w:r>
    </w:p>
    <w:p>
      <w:pPr>
        <w:pStyle w:val="Heading3"/>
      </w:pPr>
      <w:r>
        <w:t>3. Pot life dài 8–24 giờ</w:t>
      </w:r>
    </w:p>
    <w:p>
      <w:r>
        <w:t>Đây là một trong những điểm bán hàng quan trọng nhất của hệ NISO.</w:t>
      </w:r>
    </w:p>
    <w:p>
      <w:r>
        <w:t>Pot life tham khảo:</w:t>
      </w:r>
    </w:p>
    <w:p>
      <w:pPr>
        <w:pStyle w:val="ListBullet"/>
      </w:pPr>
      <w:r>
        <w:rPr>
          <w:b/>
        </w:rPr>
        <w:t>NISO Acrylic–Epoxy: 8–24 giờ</w:t>
      </w:r>
    </w:p>
    <w:p>
      <w:pPr>
        <w:pStyle w:val="ListBullet"/>
      </w:pPr>
      <w:r>
        <w:t>2K PU: khoảng 2–4 giờ</w:t>
      </w:r>
    </w:p>
    <w:p>
      <w:pPr>
        <w:pStyle w:val="ListBullet"/>
      </w:pPr>
      <w:r>
        <w:t>Epoxy–amine: khoảng 4–6 giờ</w:t>
      </w:r>
    </w:p>
    <w:p>
      <w:r>
        <w:t>Trong khi các hệ 2K thông dụng có thể có khoảng thao tác ngắn hơn, tùy công thức và điều kiện.</w:t>
      </w:r>
    </w:p>
    <w:p>
      <w:r>
        <w:t>Pot life dài giúp giảm áp lực cho người pha sơn và dây chuyền sản xuất. Trong điều kiện thực tế, điều này có thể mang lại ba lợi ích:</w:t>
      </w:r>
    </w:p>
    <w:p>
      <w:pPr>
        <w:pStyle w:val="ListBullet"/>
      </w:pPr>
      <w:r>
        <w:t>Giảm lượng sơn phải hủy do hết pot life.</w:t>
      </w:r>
    </w:p>
    <w:p>
      <w:pPr>
        <w:pStyle w:val="ListBullet"/>
      </w:pPr>
      <w:r>
        <w:t>Giảm số lần pha sơn trong một ca sản xuất.</w:t>
      </w:r>
    </w:p>
    <w:p>
      <w:pPr>
        <w:pStyle w:val="ListBullet"/>
      </w:pPr>
      <w:r>
        <w:t>Tăng tính linh hoạt khi dây chuyền phải tạm dừng hoặc thay đổi kế hoạch.</w:t>
      </w:r>
    </w:p>
    <w:p>
      <w:r>
        <w:t>Nếu dữ liệu TDS xác nhận pot life ở đầu trên của khoảng này trong điều kiện sản xuất thực tế, hỗn hợp có thể duy trì khả năng sử dụng trong thời gian dài, thậm chí qua ca sản xuất. Tuy nhiên, trước khi cam kết với khách rằng “pha hôm nay, ngày mai vẫn sử dụng được”, cần xác nhận bằng thử nghiệm pot life thực tế ở nhiệt độ nhà máy, đặc biệt ở khoảng 30 °C.</w:t>
      </w:r>
    </w:p>
    <w:p>
      <w:pPr>
        <w:pStyle w:val="Heading3"/>
      </w:pPr>
      <w:r>
        <w:t>4. Bền thời tiết và UV</w:t>
      </w:r>
    </w:p>
    <w:p>
      <w:r>
        <w:t>Đây là điểm khác biệt quan trọng so với epoxy–amine truyền thống. Epoxy thông thường có hạn chế khi sử dụng làm lớp phủ hoàn thiện ngoài trời do khả năng thay đổi màu, mất bóng và phấn hóa dưới tác động kéo dài của tia UV.</w:t>
      </w:r>
    </w:p>
    <w:p>
      <w:r>
        <w:t>Trong hệ NISO này, acrylic chiếm gần 80% lượng nhựa, trong khi epoxy chỉ khoảng 3%. Do tỷ lệ epoxy và cấu trúc thơm thấp hơn đáng kể so với hệ epoxy–amine truyền thống, hệ được thiết kế nhằm đạt khả năng giữ màu, giữ bóng và chống phấn hóa tốt hơn khi sử dụng ngoài trời. Đây là cơ sở kỹ thuật để kỳ vọng độ bền thời tiết cao hơn epoxy–amine thông thường.</w:t>
      </w:r>
    </w:p>
    <w:p>
      <w:r>
        <w:t>Tuy nhiên, khi trình bày với khách hàng, không nên cam kết tuyệt đối rằng sản phẩm “không bao giờ ố vàng” hoặc “không phấn hóa”. Cách diễn đạt kỹ thuật phù hợp hơn là:</w:t>
      </w:r>
    </w:p>
    <w:p>
      <w:r>
        <w:rPr>
          <w:i/>
        </w:rPr>
        <w:t>“Khả năng giữ màu và chống phấn hóa được thiết kế vượt trội so với epoxy–amine truyền thống; mức độ cụ thể cần được xác nhận bằng QUV và dữ liệu phơi ngoài trời.”</w:t>
      </w:r>
    </w:p>
    <w:p>
      <w:pPr>
        <w:pStyle w:val="Heading3"/>
      </w:pPr>
      <w:r>
        <w:t>5. Độ cứng – bám dính – kháng hóa chất – chống ăn mòn</w:t>
      </w:r>
    </w:p>
    <w:p>
      <w:r>
        <w:t>Các chỉ tiêu hiệu năng mục tiêu/tham khảo của hệ gồm:</w:t>
      </w:r>
    </w:p>
    <w:p>
      <w:pPr>
        <w:pStyle w:val="ListBullet"/>
      </w:pPr>
      <w:r>
        <w:t xml:space="preserve">Bám dính: </w:t>
      </w:r>
      <w:r>
        <w:rPr>
          <w:b/>
        </w:rPr>
        <w:t>5B</w:t>
      </w:r>
      <w:r>
        <w:t xml:space="preserve"> – ASTM D3359</w:t>
      </w:r>
    </w:p>
    <w:p>
      <w:pPr>
        <w:pStyle w:val="ListBullet"/>
      </w:pPr>
      <w:r>
        <w:t xml:space="preserve">Độ cứng bút chì: </w:t>
      </w:r>
      <w:r>
        <w:rPr>
          <w:b/>
        </w:rPr>
        <w:t>2H–3H</w:t>
      </w:r>
      <w:r>
        <w:t xml:space="preserve"> sau 7 ngày</w:t>
      </w:r>
    </w:p>
    <w:p>
      <w:pPr>
        <w:pStyle w:val="ListBullet"/>
      </w:pPr>
      <w:r>
        <w:rPr>
          <w:b/>
        </w:rPr>
        <w:t>König hardness: &gt;140 giây</w:t>
      </w:r>
    </w:p>
    <w:p>
      <w:pPr>
        <w:pStyle w:val="ListBullet"/>
      </w:pPr>
      <w:r>
        <w:t xml:space="preserve">Độ bóng: </w:t>
      </w:r>
      <w:r>
        <w:rPr>
          <w:b/>
        </w:rPr>
        <w:t>20–45 GU @ 60°</w:t>
      </w:r>
    </w:p>
    <w:p>
      <w:pPr>
        <w:pStyle w:val="ListBullet"/>
      </w:pPr>
      <w:r>
        <w:rPr>
          <w:b/>
        </w:rPr>
        <w:t>Salt Spray: 500–1.000 giờ</w:t>
      </w:r>
      <w:r>
        <w:t xml:space="preserve"> – ASTM B117</w:t>
      </w:r>
    </w:p>
    <w:p>
      <w:pPr>
        <w:pStyle w:val="ListBullet"/>
      </w:pPr>
      <w:r>
        <w:t xml:space="preserve">Kháng MEK: </w:t>
      </w:r>
      <w:r>
        <w:rPr>
          <w:b/>
        </w:rPr>
        <w:t>50–100 double rubs</w:t>
      </w:r>
    </w:p>
    <w:p>
      <w:r>
        <w:t>Các chỉ tiêu này cần được đặt cạnh DFT, loại nền, phương pháp xử lý bề mặt, primer và thời gian đóng rắn, vì một con số riêng lẻ sẽ không phản ánh đầy đủ hiệu năng của toàn bộ hệ sơn.</w:t>
      </w:r>
    </w:p>
    <w:p>
      <w:r>
        <w:t>Đặc biệt với Salt Spray, kết quả 500–1.000 giờ chỉ có ý nghĩa khi xác định rõ: nền kim loại → xử lý bề mặt → primer → topcoat → tổng DFT → có/không tạo vết rạch → tiêu chí đánh giá sau thử nghiệm.</w:t>
      </w:r>
    </w:p>
    <w:p>
      <w:pPr>
        <w:pStyle w:val="Heading2"/>
      </w:pPr>
      <w:r>
        <w:t>IV. ĐỪNG SO GIÁ/KG – HÃY SO CHI PHÍ HOÀN THIỆN 1 m²</w:t>
      </w:r>
    </w:p>
    <w:p>
      <w:r>
        <w:t>Khi so sánh với epoxy–amine hoặc 2K PU hiện tại, nên đánh giá ít nhất 9 yếu tố:</w:t>
      </w:r>
    </w:p>
    <w:p>
      <w:pPr>
        <w:pStyle w:val="ListNumber"/>
      </w:pPr>
      <w:r>
        <w:t>Giá sơn/kg</w:t>
      </w:r>
    </w:p>
    <w:p>
      <w:pPr>
        <w:pStyle w:val="ListNumber"/>
      </w:pPr>
      <w:r>
        <w:t>% solids</w:t>
      </w:r>
    </w:p>
    <w:p>
      <w:pPr>
        <w:pStyle w:val="ListNumber"/>
      </w:pPr>
      <w:r>
        <w:t>Định mức kg/m² tại cùng DFT</w:t>
      </w:r>
    </w:p>
    <w:p>
      <w:pPr>
        <w:pStyle w:val="ListNumber"/>
      </w:pPr>
      <w:r>
        <w:t>Chi phí sơn/m²</w:t>
      </w:r>
    </w:p>
    <w:p>
      <w:pPr>
        <w:pStyle w:val="ListNumber"/>
      </w:pPr>
      <w:r>
        <w:t>Số lớp cần thi công</w:t>
      </w:r>
    </w:p>
    <w:p>
      <w:pPr>
        <w:pStyle w:val="ListNumber"/>
      </w:pPr>
      <w:r>
        <w:t>Thời gian giữa các lớp</w:t>
      </w:r>
    </w:p>
    <w:p>
      <w:pPr>
        <w:pStyle w:val="ListNumber"/>
      </w:pPr>
      <w:r>
        <w:t>Pot life và lượng sơn dư phải hủy</w:t>
      </w:r>
    </w:p>
    <w:p>
      <w:pPr>
        <w:pStyle w:val="ListNumber"/>
      </w:pPr>
      <w:r>
        <w:t>Nhân công + năng lượng/sấy</w:t>
      </w:r>
    </w:p>
    <w:p>
      <w:pPr>
        <w:pStyle w:val="ListNumber"/>
      </w:pPr>
      <w:r>
        <w:t>Tổng chi phí hoàn thiện/m²</w:t>
      </w:r>
    </w:p>
    <w:p>
      <w:r>
        <w:t>Công thức cần quan tâm không chỉ là:</w:t>
      </w:r>
    </w:p>
    <w:p>
      <w:r>
        <w:rPr>
          <w:b/>
        </w:rPr>
        <w:t>Chi phí vật liệu/m² = lượng sơn sử dụng × giá/kg</w:t>
      </w:r>
    </w:p>
    <w:p>
      <w:r>
        <w:t>mà là:</w:t>
      </w:r>
    </w:p>
    <w:p>
      <w:r>
        <w:rPr>
          <w:b/>
        </w:rPr>
        <w:t>TOTAL APPLIED COST/m² = Sơn + dung môi + nhân công + năng lượng + hao hụt + thời gian chờ + chi phí rework</w:t>
      </w:r>
    </w:p>
    <w:p>
      <w:r>
        <w:t>Một sản phẩm có giá/kg cao hơn chưa chắc có giá thành sử dụng cao hơn. Ngược lại, một loại sơn có giá/kg thấp nhưng cần nhiều lớp, thời gian chờ dài hoặc tỷ lệ hàng sửa chữa cao có thể tạo ra chi phí hoàn thiện thực tế lớn hơn.</w:t>
      </w:r>
    </w:p>
    <w:p>
      <w:pPr>
        <w:pStyle w:val="Heading2"/>
      </w:pPr>
      <w:r>
        <w:t>V. THI CÔNG – NHỮNG ĐIỂM PHẢI KIỂM SOÁT</w:t>
      </w:r>
    </w:p>
    <w:p>
      <w:r>
        <w:t>Trước khi áp dụng sản phẩm cần xác nhận:</w:t>
      </w:r>
    </w:p>
    <w:p>
      <w:pPr>
        <w:pStyle w:val="ListBullet"/>
      </w:pPr>
      <w:r>
        <w:t>Loại kim loại: thép carbon, thép mạ kẽm, nhôm, inox…</w:t>
      </w:r>
    </w:p>
    <w:p>
      <w:pPr>
        <w:pStyle w:val="ListBullet"/>
      </w:pPr>
      <w:r>
        <w:t>Phương pháp xử lý bề mặt: tẩy dầu, phosphate, blasting hoặc phương pháp tương ứng.</w:t>
      </w:r>
    </w:p>
    <w:p>
      <w:pPr>
        <w:pStyle w:val="ListBullet"/>
      </w:pPr>
      <w:r>
        <w:t>Primer: loại primer và khả năng tương thích.</w:t>
      </w:r>
    </w:p>
    <w:p>
      <w:pPr>
        <w:pStyle w:val="ListBullet"/>
      </w:pPr>
      <w:r>
        <w:t>DFT: chiều dày từng lớp và tổng chiều dày hệ thống.</w:t>
      </w:r>
    </w:p>
    <w:p>
      <w:pPr>
        <w:pStyle w:val="ListBullet"/>
      </w:pPr>
      <w:r>
        <w:t>Điều kiện môi trường: nhiệt độ, độ ẩm tương đối và điểm sương.</w:t>
      </w:r>
    </w:p>
    <w:p>
      <w:pPr>
        <w:pStyle w:val="ListBullet"/>
      </w:pPr>
      <w:r>
        <w:t>Tỷ lệ pha: tuân thủ TDS.</w:t>
      </w:r>
    </w:p>
    <w:p>
      <w:pPr>
        <w:pStyle w:val="ListBullet"/>
      </w:pPr>
      <w:r>
        <w:t>Thời gian induction nếu có.</w:t>
      </w:r>
    </w:p>
    <w:p>
      <w:pPr>
        <w:pStyle w:val="ListBullet"/>
      </w:pPr>
      <w:r>
        <w:t>Pot life thực tế tại nhiệt độ thi công.</w:t>
      </w:r>
    </w:p>
    <w:p>
      <w:r>
        <w:t>Ba lỗi người thi công cần đặc biệt tránh là:</w:t>
      </w:r>
    </w:p>
    <w:p>
      <w:pPr>
        <w:pStyle w:val="ListBullet"/>
      </w:pPr>
      <w:r>
        <w:t>Pha sai tỷ lệ hai thành phần.</w:t>
      </w:r>
    </w:p>
    <w:p>
      <w:pPr>
        <w:pStyle w:val="ListBullet"/>
      </w:pPr>
      <w:r>
        <w:t>Phun quá dày để cố đạt độ che phủ trong một lần.</w:t>
      </w:r>
    </w:p>
    <w:p>
      <w:pPr>
        <w:pStyle w:val="ListBullet"/>
      </w:pPr>
      <w:r>
        <w:t>Đánh giá độ cứng hoặc kháng hóa chất quá sớm khi màng chưa đóng rắn hoàn toàn.</w:t>
      </w:r>
    </w:p>
    <w:p>
      <w:pPr>
        <w:pStyle w:val="Heading2"/>
      </w:pPr>
      <w:r>
        <w:t>VI. BẰNG CHỨNG QUAN TRỌNG HƠN LỜI QUẢNG CÁO</w:t>
      </w:r>
    </w:p>
    <w:p>
      <w:r>
        <w:t>Khi giới thiệu hệ sơn với khách hàng kỹ thuật, nên mang theo:</w:t>
      </w:r>
    </w:p>
    <w:p>
      <w:pPr>
        <w:pStyle w:val="ListBullet"/>
      </w:pPr>
      <w:r>
        <w:t>TDS và SDS của hai thành phần.</w:t>
      </w:r>
    </w:p>
    <w:p>
      <w:pPr>
        <w:pStyle w:val="ListBullet"/>
      </w:pPr>
      <w:r>
        <w:t>Bảng kết quả thử nghiệm.</w:t>
      </w:r>
    </w:p>
    <w:p>
      <w:pPr>
        <w:pStyle w:val="ListBullet"/>
      </w:pPr>
      <w:r>
        <w:t>Panel kim loại đã sơn và đóng rắn 7 ngày.</w:t>
      </w:r>
    </w:p>
    <w:p>
      <w:pPr>
        <w:pStyle w:val="ListBullet"/>
      </w:pPr>
      <w:r>
        <w:t>Panel đóng rắn 14 ngày.</w:t>
      </w:r>
    </w:p>
    <w:p>
      <w:pPr>
        <w:pStyle w:val="ListBullet"/>
      </w:pPr>
      <w:r>
        <w:t>Panel epoxy–amine hoặc PU đang sử dụng làm đối chứng.</w:t>
      </w:r>
    </w:p>
    <w:p>
      <w:r>
        <w:t>Khách hàng có thể trực tiếp kiểm tra độ cứng, ngoại quan, adhesion hoặc thử dung môi trên các panel.</w:t>
      </w:r>
    </w:p>
    <w:p>
      <w:r>
        <w:t>Đối với ứng dụng ngoài trời, nên bổ sung dữ liệu QUV/accelerated weathering và phơi ngoài trời thực tế trước khi đưa ra cam kết tuổi thọ.</w:t>
      </w:r>
    </w:p>
    <w:p>
      <w:pPr>
        <w:pStyle w:val="Heading2"/>
      </w:pPr>
      <w:r>
        <w:t>VII. THÔNG ĐIỆP BÁN HÀNG</w:t>
      </w:r>
    </w:p>
    <w:p>
      <w:r>
        <w:t>Không nên định vị sản phẩm bằng thông điệp: “Sơn xanh – VOC thấp.”</w:t>
      </w:r>
    </w:p>
    <w:p>
      <w:r>
        <w:t>Thay vào đó, bốn giá trị cần được nhấn mạnh là:</w:t>
      </w:r>
    </w:p>
    <w:p>
      <w:pPr>
        <w:pStyle w:val="ListBullet"/>
      </w:pPr>
      <w:r>
        <w:rPr>
          <w:b/>
        </w:rPr>
        <w:t>NISO</w:t>
      </w:r>
      <w:r>
        <w:t xml:space="preserve"> – Không sử dụng isocyanate.</w:t>
      </w:r>
    </w:p>
    <w:p>
      <w:pPr>
        <w:pStyle w:val="ListBullet"/>
      </w:pPr>
      <w:r>
        <w:rPr>
          <w:b/>
        </w:rPr>
        <w:t>FAST DRY</w:t>
      </w:r>
      <w:r>
        <w:t xml:space="preserve"> – Khô bề mặt 15–30 phút.</w:t>
      </w:r>
    </w:p>
    <w:p>
      <w:pPr>
        <w:pStyle w:val="ListBullet"/>
      </w:pPr>
      <w:r>
        <w:rPr>
          <w:b/>
        </w:rPr>
        <w:t>LONG POT LIFE</w:t>
      </w:r>
      <w:r>
        <w:t xml:space="preserve"> – Pot life 8–24 giờ.</w:t>
      </w:r>
    </w:p>
    <w:p>
      <w:pPr>
        <w:pStyle w:val="ListBullet"/>
      </w:pPr>
      <w:r>
        <w:rPr>
          <w:b/>
        </w:rPr>
        <w:t>WEATHERABILITY</w:t>
      </w:r>
      <w:r>
        <w:t xml:space="preserve"> – Acrylic-rich technology hướng tới khả năng giữ màu, giữ bóng và chống phấn hóa tốt hơn epoxy–amine truyền thống.</w:t>
      </w:r>
    </w:p>
    <w:p>
      <w:r>
        <w:t>Thông điệp tổng thể:</w:t>
      </w:r>
    </w:p>
    <w:p>
      <w:r>
        <w:rPr>
          <w:i/>
        </w:rPr>
        <w:t>“Sơn kim loại 2 thành phần không isocyanate – nhanh khô, pot life dài và được thiết kế cho độ bền thời tiết cao.”</w:t>
      </w:r>
    </w:p>
    <w:p>
      <w:pPr>
        <w:pStyle w:val="Heading2"/>
      </w:pPr>
      <w:r>
        <w:t>VIII. KẾT THÚC BẰNG MỘT TRIAL, KHÔNG PHẢI MỘT LỜI HỨA</w:t>
      </w:r>
    </w:p>
    <w:p>
      <w:r>
        <w:t>Thay vì đề nghị khách hàng thay ngay hệ sơn đang sử dụng, bước tiếp theo nên là một trial có kiểm soát. Hai bên thống nhất trước:</w:t>
      </w:r>
    </w:p>
    <w:p>
      <w:pPr>
        <w:pStyle w:val="ListBullet"/>
      </w:pPr>
      <w:r>
        <w:t>Nền kim loại nào sẽ thử?</w:t>
      </w:r>
    </w:p>
    <w:p>
      <w:pPr>
        <w:pStyle w:val="ListBullet"/>
      </w:pPr>
      <w:r>
        <w:t>Hệ xử lý bề mặt và primer nào?</w:t>
      </w:r>
    </w:p>
    <w:p>
      <w:pPr>
        <w:pStyle w:val="ListBullet"/>
      </w:pPr>
      <w:r>
        <w:t>Diện tích hoặc số lượng sản phẩm thử?</w:t>
      </w:r>
    </w:p>
    <w:p>
      <w:pPr>
        <w:pStyle w:val="ListBullet"/>
      </w:pPr>
      <w:r>
        <w:t>DFT mục tiêu?</w:t>
      </w:r>
    </w:p>
    <w:p>
      <w:pPr>
        <w:pStyle w:val="ListBullet"/>
      </w:pPr>
      <w:r>
        <w:t>Điều kiện đóng rắn?</w:t>
      </w:r>
    </w:p>
    <w:p>
      <w:pPr>
        <w:pStyle w:val="ListBullet"/>
      </w:pPr>
      <w:r>
        <w:t>5 tiêu chí Pass/Fail nào sẽ được đánh giá?</w:t>
      </w:r>
    </w:p>
    <w:p>
      <w:r>
        <w:t>Sau đó so trực tiếp với hệ hiện tại trên cùng điều kiện sản xuất.</w:t>
      </w:r>
    </w:p>
    <w:p>
      <w:r>
        <w:t>Mục tiêu không phải chứng minh sản phẩm mới “tốt hơn ở mọi mặt”, mà xác định một cách định lượng: hệ NISO Acrylic–Epoxy có giúp khách hàng rút ngắn thời gian sản xuất, giảm tổn thất do pot life, duy trì độ bền ngoài trời và giảm Total Applied Cost/m² hay không.</w:t>
      </w:r>
    </w:p>
    <w:p>
      <w:pPr>
        <w:pStyle w:val="Heading2"/>
      </w:pPr>
      <w:r>
        <w:t>IX. BA ĐIỀU PHẢI NHỚ</w:t>
      </w:r>
    </w:p>
    <w:p>
      <w:pPr>
        <w:pStyle w:val="ListNumber"/>
      </w:pPr>
      <w:r>
        <w:rPr>
          <w:b/>
        </w:rPr>
        <w:t>NISO ≠ VOC thấp.</w:t>
      </w:r>
      <w:r>
        <w:t xml:space="preserve"> Lợi thế là không sử dụng isocyanate; sản phẩm vẫn chứa lượng dung môi đáng kể.</w:t>
      </w:r>
    </w:p>
    <w:p>
      <w:pPr>
        <w:pStyle w:val="ListNumber"/>
      </w:pPr>
      <w:r>
        <w:rPr>
          <w:b/>
        </w:rPr>
        <w:t>Acrylic-rich ≠ cam kết tuyệt đối không ố vàng.</w:t>
      </w:r>
      <w:r>
        <w:t xml:space="preserve"> Phải sử dụng dữ liệu QUV và outdoor exposure để chứng minh.</w:t>
      </w:r>
    </w:p>
    <w:p>
      <w:pPr>
        <w:pStyle w:val="ListNumber"/>
      </w:pPr>
      <w:r>
        <w:rPr>
          <w:b/>
        </w:rPr>
        <w:t>Salt Spray 1.000 giờ ≠ tuổi thọ ngoài trời X năm.</w:t>
      </w:r>
      <w:r>
        <w:t xml:space="preserve"> Không quy đổi trực tiếp số giờ ASTM B117 thành số năm sử dụng thực tế.</w:t>
      </w:r>
    </w:p>
    <w:p>
      <w:r>
        <w:t xml:space="preserve">Và nguyên tắc quan trọng nhất: </w:t>
      </w:r>
      <w:r>
        <w:rPr>
          <w:b/>
        </w:rPr>
        <w:t>“Không bán bằng tính từ khi có thể bán bằng con số.”</w:t>
      </w:r>
    </w:p>
    <w:p>
      <w:pPr>
        <w:pStyle w:val="ListBullet"/>
      </w:pPr>
      <w:r>
        <w:t>15–30 phút khô bề mặt.</w:t>
      </w:r>
    </w:p>
    <w:p>
      <w:pPr>
        <w:pStyle w:val="ListBullet"/>
      </w:pPr>
      <w:r>
        <w:t>8–24 giờ pot life.</w:t>
      </w:r>
    </w:p>
    <w:p>
      <w:pPr>
        <w:pStyle w:val="ListBullet"/>
      </w:pPr>
      <w:r>
        <w:t>2H–3H pencil hardness.</w:t>
      </w:r>
    </w:p>
    <w:p>
      <w:pPr>
        <w:pStyle w:val="ListBullet"/>
      </w:pPr>
      <w:r>
        <w:t>5B adhesion.</w:t>
      </w:r>
    </w:p>
    <w:p>
      <w:pPr>
        <w:pStyle w:val="ListBullet"/>
      </w:pPr>
      <w:r>
        <w:t>500–1.000 giờ salt spray.</w:t>
      </w:r>
    </w:p>
    <w:p>
      <w:pPr>
        <w:pStyle w:val="ListBullet"/>
      </w:pPr>
      <w:r>
        <w:t>50–100 MEK double rubs.</w:t>
      </w:r>
    </w:p>
    <w:p>
      <w:r>
        <w:t xml:space="preserve">Sau cùng, con số quyết định vẫn là: </w:t>
      </w:r>
      <w:r>
        <w:rPr>
          <w:b/>
        </w:rPr>
        <w:t>TOTAL APPLIED COST / m²</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