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20"/>
      </w:pPr>
      <w:r>
        <w:rPr>
          <w:rFonts w:ascii="Segoe UI" w:hAnsi="Segoe UI"/>
          <w:b/>
          <w:color w:val="1F4E79"/>
          <w:sz w:val="36"/>
        </w:rPr>
        <w:t>THUYẾT MINH CHI TIẾT QUY TRÌNH VẬN HÀNH TOÀN CÔNG TY BTCHEM</w:t>
      </w:r>
    </w:p>
    <w:p>
      <w:pPr>
        <w:pStyle w:val="ListBullet"/>
        <w:spacing w:after="80" w:line="276" w:lineRule="auto"/>
      </w:pPr>
      <w:r>
        <w:rPr>
          <w:rFonts w:ascii="Segoe UI" w:hAnsi="Segoe UI"/>
          <w:color w:val="333333"/>
          <w:sz w:val="21"/>
        </w:rPr>
        <w:t>Dự án triển khai hệ thống ERP Microsoft Dynamics 365 Business Central*</w:t>
      </w:r>
    </w:p>
    <w:p>
      <w:pPr>
        <w:spacing w:before="240" w:after="240"/>
        <w:pBrd>
          <w:bottom w:val="single" w:sz="6" w:space="1" w:color="D9D9D9"/>
        </w:pBrd>
      </w:pPr>
    </w:p>
    <w:p>
      <w:pPr>
        <w:keepNext/>
        <w:spacing w:before="280" w:after="80"/>
      </w:pPr>
      <w:r>
        <w:rPr>
          <w:rFonts w:ascii="Segoe UI" w:hAnsi="Segoe UI"/>
          <w:b/>
          <w:color w:val="2E74B5"/>
          <w:sz w:val="28"/>
        </w:rPr>
        <w:t>1. 📊 SƠ ĐỒ QUY TRÌNH VẬN HÀNH TỔNG THỂ</w:t>
      </w:r>
    </w:p>
    <w:p>
      <w:pPr>
        <w:spacing w:after="120" w:line="276" w:lineRule="auto"/>
      </w:pPr>
      <w:r>
        <w:rPr>
          <w:rFonts w:ascii="Segoe UI" w:hAnsi="Segoe UI"/>
          <w:color w:val="333333"/>
          <w:sz w:val="21"/>
        </w:rPr>
        <w:t>Dưới đây là sơ đồ dòng chảy thông tin, chứng từ và hàng hóa liên phòng ban của công ty BTChem (Xem bản vẽ sơ đồ động Mermaid dưới đây):</w:t>
      </w:r>
    </w:p>
    <w:p>
      <w:pPr>
        <w:spacing w:before="240" w:after="240"/>
        <w:jc w:val="center"/>
      </w:pPr>
      <w:r>
        <w:drawing>
          <wp:inline xmlns:a="http://schemas.openxmlformats.org/drawingml/2006/main" xmlns:pic="http://schemas.openxmlformats.org/drawingml/2006/picture">
            <wp:extent cx="5669280" cy="7851834"/>
            <wp:docPr id="1" name="Picture 1"/>
            <wp:cNvGraphicFramePr>
              <a:graphicFrameLocks noChangeAspect="1"/>
            </wp:cNvGraphicFramePr>
            <a:graphic>
              <a:graphicData uri="http://schemas.openxmlformats.org/drawingml/2006/picture">
                <pic:pic>
                  <pic:nvPicPr>
                    <pic:cNvPr id="0" name="So_do_quy_trinh_van_hanh.png"/>
                    <pic:cNvPicPr/>
                  </pic:nvPicPr>
                  <pic:blipFill>
                    <a:blip r:embed="rId9"/>
                    <a:stretch>
                      <a:fillRect/>
                    </a:stretch>
                  </pic:blipFill>
                  <pic:spPr>
                    <a:xfrm>
                      <a:off x="0" y="0"/>
                      <a:ext cx="5669280" cy="7851834"/>
                    </a:xfrm>
                    <a:prstGeom prst="rect"/>
                  </pic:spPr>
                </pic:pic>
              </a:graphicData>
            </a:graphic>
          </wp:inline>
        </w:drawing>
      </w:r>
    </w:p>
    <w:p>
      <w:pPr>
        <w:spacing w:before="240" w:after="240"/>
        <w:pBrd>
          <w:bottom w:val="single" w:sz="6" w:space="1" w:color="D9D9D9"/>
        </w:pBrd>
      </w:pPr>
    </w:p>
    <w:p>
      <w:pPr>
        <w:keepNext/>
        <w:spacing w:before="280" w:after="80"/>
      </w:pPr>
      <w:r>
        <w:rPr>
          <w:rFonts w:ascii="Segoe UI" w:hAnsi="Segoe UI"/>
          <w:b/>
          <w:color w:val="2E74B5"/>
          <w:sz w:val="28"/>
        </w:rPr>
        <w:t>2. 📝 THUYẾT MINH CHI TIẾT LUỒNG VẬN HÀNH LIÊN PHÒNG BAN</w:t>
      </w:r>
    </w:p>
    <w:p>
      <w:pPr>
        <w:spacing w:after="120" w:line="276" w:lineRule="auto"/>
      </w:pPr>
      <w:r>
        <w:rPr>
          <w:rFonts w:ascii="Segoe UI" w:hAnsi="Segoe UI"/>
          <w:color w:val="333333"/>
          <w:sz w:val="21"/>
        </w:rPr>
        <w:t>Chuỗi vận hành của công ty BTChem được chia thành 4 quy trình lớn đan xen chặt chẽ, tạo thành trục vận hành khép kín từ lúc phát sinh đơn đặt hàng đến khi thu hồi công nợ và tính toán hiệu quả tài chính.</w:t>
      </w:r>
    </w:p>
    <w:p>
      <w:pPr>
        <w:spacing w:before="240" w:after="240"/>
        <w:pBrd>
          <w:bottom w:val="single" w:sz="6" w:space="1" w:color="D9D9D9"/>
        </w:pBrd>
      </w:pPr>
    </w:p>
    <w:p>
      <w:pPr>
        <w:keepNext/>
        <w:spacing w:before="200" w:after="40"/>
      </w:pPr>
      <w:r>
        <w:rPr>
          <w:rFonts w:ascii="Segoe UI" w:hAnsi="Segoe UI"/>
          <w:b/>
          <w:color w:val="595959"/>
          <w:sz w:val="24"/>
        </w:rPr>
        <w:t>PHÂN ĐOẠN 1: QUY TRÌNH KINH DOANH - BÁN HÀNG &amp; THU TIỀN (QUOTE-TO-CASH)</w:t>
      </w:r>
    </w:p>
    <w:p>
      <w:pPr>
        <w:spacing w:after="120" w:line="276" w:lineRule="auto"/>
      </w:pPr>
      <w:r>
        <w:rPr>
          <w:rFonts w:ascii="Segoe UI" w:hAnsi="Segoe UI"/>
          <w:color w:val="333333"/>
          <w:sz w:val="21"/>
        </w:rPr>
        <w:t>Quy trình quản lý giao dịch bán hàng, thu tiền và chăm sóc khách hàng được kiểm soát nghiêm ngặt giữa bộ phận Sales, Kế toán và Kho.</w:t>
      </w:r>
    </w:p>
    <w:p>
      <w:pPr>
        <w:keepNext/>
        <w:spacing w:before="160" w:after="40"/>
      </w:pPr>
      <w:r>
        <w:rPr>
          <w:rFonts w:ascii="Segoe UI" w:hAnsi="Segoe UI"/>
          <w:b/>
          <w:color w:val="7F7F7F"/>
          <w:sz w:val="22"/>
        </w:rPr>
        <w:t>1. Tiếp nhận Yêu cầu &amp; Tạo Báo giá</w:t>
      </w:r>
    </w:p>
    <w:p>
      <w:pPr>
        <w:pStyle w:val="ListBullet"/>
        <w:spacing w:after="80" w:line="276" w:lineRule="auto"/>
      </w:pPr>
      <w:r>
        <w:rPr>
          <w:rFonts w:ascii="Segoe UI" w:hAnsi="Segoe UI"/>
          <w:color w:val="333333"/>
          <w:sz w:val="21"/>
        </w:rPr>
      </w:r>
      <w:r>
        <w:rPr>
          <w:rFonts w:ascii="Segoe UI" w:hAnsi="Segoe UI"/>
          <w:b/>
          <w:color w:val="333333"/>
          <w:sz w:val="21"/>
        </w:rPr>
        <w:t>Tiếp nhận</w:t>
      </w:r>
      <w:r>
        <w:rPr>
          <w:rFonts w:ascii="Segoe UI" w:hAnsi="Segoe UI"/>
          <w:color w:val="333333"/>
          <w:sz w:val="21"/>
        </w:rPr>
        <w:t>: Phòng Kinh Doanh (PKD) tiếp nhận yêu cầu mua hàng từ khách hàng hoặc thông qua đại diện bán hàng.</w:t>
      </w:r>
    </w:p>
    <w:p>
      <w:pPr>
        <w:pStyle w:val="ListBullet"/>
        <w:spacing w:after="80" w:line="276" w:lineRule="auto"/>
      </w:pPr>
      <w:r>
        <w:rPr>
          <w:rFonts w:ascii="Segoe UI" w:hAnsi="Segoe UI"/>
          <w:color w:val="333333"/>
          <w:sz w:val="21"/>
        </w:rPr>
      </w:r>
      <w:r>
        <w:rPr>
          <w:rFonts w:ascii="Segoe UI" w:hAnsi="Segoe UI"/>
          <w:b/>
          <w:color w:val="333333"/>
          <w:sz w:val="21"/>
        </w:rPr>
        <w:t>Xác nhận mã sản phẩm</w:t>
      </w:r>
      <w:r>
        <w:rPr>
          <w:rFonts w:ascii="Segoe UI" w:hAnsi="Segoe UI"/>
          <w:color w:val="333333"/>
          <w:sz w:val="21"/>
        </w:rPr>
        <w:t xml:space="preserve">: Sales kiểm tra tên sản phẩm yêu cầu của khách hàng. Trong trường hợp khách hàng đặt mua theo tên riêng không khớp mã BTChem, Sales phải liên hệ </w:t>
      </w:r>
      <w:r>
        <w:rPr>
          <w:rFonts w:ascii="Segoe UI" w:hAnsi="Segoe UI"/>
          <w:b/>
          <w:color w:val="333333"/>
          <w:sz w:val="21"/>
        </w:rPr>
        <w:t>Phòng Kỹ thuật (PKT)</w:t>
      </w:r>
      <w:r>
        <w:rPr>
          <w:rFonts w:ascii="Segoe UI" w:hAnsi="Segoe UI"/>
          <w:color w:val="333333"/>
          <w:sz w:val="21"/>
        </w:rPr>
        <w:t xml:space="preserve"> để đối chiếu sản phẩm gốc, xác nhận quy trình công nghệ phù hợp (UV, NC, PU hay gốc nước) rồi mới tiến hành báo giá.</w:t>
      </w:r>
    </w:p>
    <w:p>
      <w:pPr>
        <w:pStyle w:val="ListBullet"/>
        <w:spacing w:after="80" w:line="276" w:lineRule="auto"/>
      </w:pPr>
      <w:r>
        <w:rPr>
          <w:rFonts w:ascii="Segoe UI" w:hAnsi="Segoe UI"/>
          <w:color w:val="333333"/>
          <w:sz w:val="21"/>
        </w:rPr>
      </w:r>
      <w:r>
        <w:rPr>
          <w:rFonts w:ascii="Segoe UI" w:hAnsi="Segoe UI"/>
          <w:b/>
          <w:color w:val="333333"/>
          <w:sz w:val="21"/>
        </w:rPr>
        <w:t>Lập báo giá</w:t>
      </w:r>
      <w:r>
        <w:rPr>
          <w:rFonts w:ascii="Segoe UI" w:hAnsi="Segoe UI"/>
          <w:color w:val="333333"/>
          <w:sz w:val="21"/>
        </w:rPr>
        <w:t>: PKD lập bảng báo giá dựa trên bảng giá bán hiện hành. Định kỳ/đột xuất, PKD lập bảng tăng/giảm giá (so sánh giá cũ, giá mới, % tăng) trình duyệt Giám Đốc trước khi phát hành.</w:t>
      </w:r>
    </w:p>
    <w:p>
      <w:pPr>
        <w:keepNext/>
        <w:spacing w:before="160" w:after="40"/>
      </w:pPr>
      <w:r>
        <w:rPr>
          <w:rFonts w:ascii="Segoe UI" w:hAnsi="Segoe UI"/>
          <w:b/>
          <w:color w:val="7F7F7F"/>
          <w:sz w:val="22"/>
        </w:rPr>
        <w:t>2. Lập Đơn bán hàng (SO) &amp; Duyệt Công nợ</w:t>
      </w:r>
    </w:p>
    <w:p>
      <w:pPr>
        <w:pStyle w:val="ListBullet"/>
        <w:spacing w:after="80" w:line="276" w:lineRule="auto"/>
      </w:pPr>
      <w:r>
        <w:rPr>
          <w:rFonts w:ascii="Segoe UI" w:hAnsi="Segoe UI"/>
          <w:color w:val="333333"/>
          <w:sz w:val="21"/>
        </w:rPr>
      </w:r>
      <w:r>
        <w:rPr>
          <w:rFonts w:ascii="Segoe UI" w:hAnsi="Segoe UI"/>
          <w:b/>
          <w:color w:val="333333"/>
          <w:sz w:val="21"/>
        </w:rPr>
        <w:t>Khởi tạo</w:t>
      </w:r>
      <w:r>
        <w:rPr>
          <w:rFonts w:ascii="Segoe UI" w:hAnsi="Segoe UI"/>
          <w:color w:val="333333"/>
          <w:sz w:val="21"/>
        </w:rPr>
        <w:t>: Khi khách hàng đồng ý báo giá, PKD khởi tạo Đơn hàng bán (SO) trên hệ thống.</w:t>
      </w:r>
    </w:p>
    <w:p>
      <w:pPr>
        <w:pStyle w:val="ListBullet"/>
        <w:spacing w:after="80" w:line="276" w:lineRule="auto"/>
      </w:pPr>
      <w:r>
        <w:rPr>
          <w:rFonts w:ascii="Segoe UI" w:hAnsi="Segoe UI"/>
          <w:color w:val="333333"/>
          <w:sz w:val="21"/>
        </w:rPr>
      </w:r>
      <w:r>
        <w:rPr>
          <w:rFonts w:ascii="Segoe UI" w:hAnsi="Segoe UI"/>
          <w:b/>
          <w:color w:val="333333"/>
          <w:sz w:val="21"/>
        </w:rPr>
        <w:t>Kiểm tra công nợ (Kế toán)</w:t>
      </w:r>
      <w:r>
        <w:rPr>
          <w:rFonts w:ascii="Segoe UI" w:hAnsi="Segoe UI"/>
          <w:color w:val="333333"/>
          <w:sz w:val="21"/>
        </w:rPr>
        <w:t>:</w:t>
      </w:r>
    </w:p>
    <w:p>
      <w:pPr>
        <w:pStyle w:val="ListBullet"/>
        <w:spacing w:after="80" w:line="276" w:lineRule="auto"/>
      </w:pPr>
      <w:r>
        <w:rPr>
          <w:rFonts w:ascii="Segoe UI" w:hAnsi="Segoe UI"/>
          <w:color w:val="333333"/>
          <w:sz w:val="21"/>
        </w:rPr>
        <w:t>Hệ thống tự động kiểm tra hạn mức tín dụng và ngày nợ quá hạn (hạn mức mặc định 15 hoặc 30 ngày tùy theo khách hàng).</w:t>
      </w:r>
    </w:p>
    <w:p>
      <w:pPr>
        <w:pStyle w:val="ListBullet"/>
        <w:spacing w:after="80" w:line="276" w:lineRule="auto"/>
      </w:pPr>
      <w:r>
        <w:rPr>
          <w:rFonts w:ascii="Segoe UI" w:hAnsi="Segoe UI"/>
          <w:color w:val="333333"/>
          <w:sz w:val="21"/>
        </w:rPr>
        <w:t>Nếu khách hàng có công nợ tốt và trong hạn mức cho phép -&gt; Đơn hàng tự động chuyển sang trạng thái "Đã duyệt" để đưa vào kế hoạch sản xuất/giao hàng.</w:t>
      </w:r>
    </w:p>
    <w:p>
      <w:pPr>
        <w:pStyle w:val="ListBullet"/>
        <w:spacing w:after="80" w:line="276" w:lineRule="auto"/>
      </w:pPr>
      <w:r>
        <w:rPr>
          <w:rFonts w:ascii="Segoe UI" w:hAnsi="Segoe UI"/>
          <w:color w:val="333333"/>
          <w:sz w:val="21"/>
        </w:rPr>
        <w:t>Nếu vượt hạn mức -&gt; Đơn hàng bị chặn. PKD phải gửi tờ trình duyệt ngoại lệ lên nhóm Base để Giám đốc hoặc Phó Giám đốc xem xét duyệt bảo lãnh thanh toán.</w:t>
      </w:r>
    </w:p>
    <w:p>
      <w:pPr>
        <w:keepNext/>
        <w:spacing w:before="160" w:after="40"/>
      </w:pPr>
      <w:r>
        <w:rPr>
          <w:rFonts w:ascii="Segoe UI" w:hAnsi="Segoe UI"/>
          <w:b/>
          <w:color w:val="7F7F7F"/>
          <w:sz w:val="22"/>
        </w:rPr>
        <w:t>3. Điều xe &amp; Giao hàng</w:t>
      </w:r>
    </w:p>
    <w:p>
      <w:pPr>
        <w:pStyle w:val="ListBullet"/>
        <w:spacing w:after="80" w:line="276" w:lineRule="auto"/>
      </w:pPr>
      <w:r>
        <w:rPr>
          <w:rFonts w:ascii="Segoe UI" w:hAnsi="Segoe UI"/>
          <w:color w:val="333333"/>
          <w:sz w:val="21"/>
        </w:rPr>
      </w:r>
      <w:r>
        <w:rPr>
          <w:rFonts w:ascii="Segoe UI" w:hAnsi="Segoe UI"/>
          <w:b/>
          <w:color w:val="333333"/>
          <w:sz w:val="21"/>
        </w:rPr>
        <w:t>Lên lịch giao</w:t>
      </w:r>
      <w:r>
        <w:rPr>
          <w:rFonts w:ascii="Segoe UI" w:hAnsi="Segoe UI"/>
          <w:color w:val="333333"/>
          <w:sz w:val="21"/>
        </w:rPr>
        <w:t xml:space="preserve">: PKD tổng hợp thông tin giao hàng và chuyển cho Đội trưởng Tổ xe để điều động phương tiện vận chuyển (Lịch điều xe chốt cố định 2 lần/ngày: </w:t>
      </w:r>
      <w:r>
        <w:rPr>
          <w:rFonts w:ascii="Segoe UI" w:hAnsi="Segoe UI"/>
          <w:b/>
          <w:color w:val="333333"/>
          <w:sz w:val="21"/>
        </w:rPr>
        <w:t>10h30 và 14h</w:t>
      </w:r>
      <w:r>
        <w:rPr>
          <w:rFonts w:ascii="Segoe UI" w:hAnsi="Segoe UI"/>
          <w:color w:val="333333"/>
          <w:sz w:val="21"/>
        </w:rPr>
        <w:t>).</w:t>
      </w:r>
    </w:p>
    <w:p>
      <w:pPr>
        <w:pStyle w:val="ListBullet"/>
        <w:spacing w:after="80" w:line="276" w:lineRule="auto"/>
      </w:pPr>
      <w:r>
        <w:rPr>
          <w:rFonts w:ascii="Segoe UI" w:hAnsi="Segoe UI"/>
          <w:color w:val="333333"/>
          <w:sz w:val="21"/>
        </w:rPr>
      </w:r>
      <w:r>
        <w:rPr>
          <w:rFonts w:ascii="Segoe UI" w:hAnsi="Segoe UI"/>
          <w:b/>
          <w:color w:val="333333"/>
          <w:sz w:val="21"/>
        </w:rPr>
        <w:t>Soạn hàng tại kho</w:t>
      </w:r>
      <w:r>
        <w:rPr>
          <w:rFonts w:ascii="Segoe UI" w:hAnsi="Segoe UI"/>
          <w:color w:val="333333"/>
          <w:sz w:val="21"/>
        </w:rPr>
        <w:t>: Kho Thành Phẩm (KTP) soạn hàng dựa trên phiếu xuất kho. Đối với một số khách hàng lớn (Geuther, Everyoung, An Cường, Trường Thành, Mekong, Hành Mỹ...), thủ kho sử dụng mẫu phiếu giao hàng riêng của từng khách, các đối tác còn lại sử dụng mẫu chung của BTChem.</w:t>
      </w:r>
    </w:p>
    <w:p>
      <w:pPr>
        <w:pStyle w:val="ListBullet"/>
        <w:spacing w:after="80" w:line="276" w:lineRule="auto"/>
      </w:pPr>
      <w:r>
        <w:rPr>
          <w:rFonts w:ascii="Segoe UI" w:hAnsi="Segoe UI"/>
          <w:color w:val="333333"/>
          <w:sz w:val="21"/>
        </w:rPr>
      </w:r>
      <w:r>
        <w:rPr>
          <w:rFonts w:ascii="Segoe UI" w:hAnsi="Segoe UI"/>
          <w:b/>
          <w:color w:val="333333"/>
          <w:sz w:val="21"/>
        </w:rPr>
        <w:t>Chứng nhận chất lượng (COA/COC)</w:t>
      </w:r>
      <w:r>
        <w:rPr>
          <w:rFonts w:ascii="Segoe UI" w:hAnsi="Segoe UI"/>
          <w:color w:val="333333"/>
          <w:sz w:val="21"/>
        </w:rPr>
        <w:t>: Nếu khách hàng yêu cầu chứng nhận phân tích chất lượng (đặc biệt đối với hàng xuất khẩu), QC sẽ trích xuất phiếu COA/COC dựa trên kết quả kiểm nghiệm của số lô sản xuất đó để gửi kèm theo xe giao hàng.</w:t>
      </w:r>
    </w:p>
    <w:p>
      <w:pPr>
        <w:keepNext/>
        <w:spacing w:before="160" w:after="40"/>
      </w:pPr>
      <w:r>
        <w:rPr>
          <w:rFonts w:ascii="Segoe UI" w:hAnsi="Segoe UI"/>
          <w:b/>
          <w:color w:val="7F7F7F"/>
          <w:sz w:val="22"/>
        </w:rPr>
        <w:t>4. Kê khai Hóa đơn &amp; Ghi nhận Công nợ (AR)</w:t>
      </w:r>
    </w:p>
    <w:p>
      <w:pPr>
        <w:pStyle w:val="ListBullet"/>
        <w:spacing w:after="80" w:line="276" w:lineRule="auto"/>
      </w:pPr>
      <w:r>
        <w:rPr>
          <w:rFonts w:ascii="Segoe UI" w:hAnsi="Segoe UI"/>
          <w:color w:val="333333"/>
          <w:sz w:val="21"/>
        </w:rPr>
        <w:t>Khi hàng được xác nhận đã giao thành công và có chữ ký xác nhận của khách hàng, Kế toán bán hàng tiến hành lập hóa đơn tài chính (áp dụng thuế suất GTGT 8% theo chính sách hiện hành) và hạch toán khoản phải thu khách hàng (AR) trên hệ thống.</w:t>
      </w:r>
    </w:p>
    <w:p>
      <w:pPr>
        <w:spacing w:before="240" w:after="240"/>
        <w:pBrd>
          <w:bottom w:val="single" w:sz="6" w:space="1" w:color="D9D9D9"/>
        </w:pBrd>
      </w:pPr>
    </w:p>
    <w:p>
      <w:pPr>
        <w:keepNext/>
        <w:spacing w:before="200" w:after="40"/>
      </w:pPr>
      <w:r>
        <w:rPr>
          <w:rFonts w:ascii="Segoe UI" w:hAnsi="Segoe UI"/>
          <w:b/>
          <w:color w:val="595959"/>
          <w:sz w:val="24"/>
        </w:rPr>
        <w:t>PHÂN ĐOẠN 2: QUY TRÌNH MUA HÀNG &amp; CUNG ỨNG NGUYÊN VẬT LIỆU (PROCURE-TO-PAY)</w:t>
      </w:r>
    </w:p>
    <w:p>
      <w:pPr>
        <w:spacing w:after="120" w:line="276" w:lineRule="auto"/>
      </w:pPr>
      <w:r>
        <w:rPr>
          <w:rFonts w:ascii="Segoe UI" w:hAnsi="Segoe UI"/>
          <w:color w:val="333333"/>
          <w:sz w:val="21"/>
        </w:rPr>
        <w:t>Quy trình đảm bảo nguồn cung ứng nguyên liệu kịp thời cho hoạt động sản xuất của nhà máy, phòng tránh thiếu hụt hàng hóa và quản lý chi phí mua vào.</w:t>
      </w:r>
    </w:p>
    <w:p>
      <w:pPr>
        <w:keepNext/>
        <w:spacing w:before="160" w:after="40"/>
      </w:pPr>
      <w:r>
        <w:rPr>
          <w:rFonts w:ascii="Segoe UI" w:hAnsi="Segoe UI"/>
          <w:b/>
          <w:color w:val="7F7F7F"/>
          <w:sz w:val="22"/>
        </w:rPr>
        <w:t>1. Hoạch định nhu cầu nguyên vật liệu (MRP)</w:t>
      </w:r>
    </w:p>
    <w:p>
      <w:pPr>
        <w:pStyle w:val="ListBullet"/>
        <w:spacing w:after="80" w:line="276" w:lineRule="auto"/>
      </w:pPr>
      <w:r>
        <w:rPr>
          <w:rFonts w:ascii="Segoe UI" w:hAnsi="Segoe UI"/>
          <w:color w:val="333333"/>
          <w:sz w:val="21"/>
        </w:rPr>
        <w:t>Mỗi ngày, sau khi PKD chốt đơn hàng và chuyển Kế hoạch Sản xuất (KHSX) hằng ngày xuống xưởng, Phòng Vật tư (PVT) tiến hành kiểm tra lượng tồn kho khả dụng của các nguyên vật liệu chính, bao bì và vật tư tiêu hao.</w:t>
      </w:r>
    </w:p>
    <w:p>
      <w:pPr>
        <w:pStyle w:val="ListBullet"/>
        <w:spacing w:after="80" w:line="276" w:lineRule="auto"/>
      </w:pPr>
      <w:r>
        <w:rPr>
          <w:rFonts w:ascii="Segoe UI" w:hAnsi="Segoe UI"/>
          <w:color w:val="333333"/>
          <w:sz w:val="21"/>
        </w:rPr>
        <w:t xml:space="preserve">PVT tính toán nhu cầu nguyên liệu dựa trên </w:t>
      </w:r>
      <w:r>
        <w:rPr>
          <w:rFonts w:ascii="Segoe UI" w:hAnsi="Segoe UI"/>
          <w:b/>
          <w:color w:val="333333"/>
          <w:sz w:val="21"/>
        </w:rPr>
        <w:t>KHSX + Định mức BOM + Tồn kho tối thiểu (Min/Max)</w:t>
      </w:r>
      <w:r>
        <w:rPr>
          <w:rFonts w:ascii="Segoe UI" w:hAnsi="Segoe UI"/>
          <w:color w:val="333333"/>
          <w:sz w:val="21"/>
        </w:rPr>
        <w:t xml:space="preserve"> để xác định lượng vật tư cần nhập thêm.</w:t>
      </w:r>
    </w:p>
    <w:p>
      <w:pPr>
        <w:keepNext/>
        <w:spacing w:before="160" w:after="40"/>
      </w:pPr>
      <w:r>
        <w:rPr>
          <w:rFonts w:ascii="Segoe UI" w:hAnsi="Segoe UI"/>
          <w:b/>
          <w:color w:val="7F7F7F"/>
          <w:sz w:val="22"/>
        </w:rPr>
        <w:t>2. Duyệt Đề nghị mua &amp; Phát hành PO</w:t>
      </w:r>
    </w:p>
    <w:p>
      <w:pPr>
        <w:pStyle w:val="ListBullet"/>
        <w:spacing w:after="80" w:line="276" w:lineRule="auto"/>
      </w:pPr>
      <w:r>
        <w:rPr>
          <w:rFonts w:ascii="Segoe UI" w:hAnsi="Segoe UI"/>
          <w:color w:val="333333"/>
          <w:sz w:val="21"/>
        </w:rPr>
      </w:r>
      <w:r>
        <w:rPr>
          <w:rFonts w:ascii="Segoe UI" w:hAnsi="Segoe UI"/>
          <w:b/>
          <w:color w:val="333333"/>
          <w:sz w:val="21"/>
        </w:rPr>
        <w:t>Yêu cầu mua hàng (PR)</w:t>
      </w:r>
      <w:r>
        <w:rPr>
          <w:rFonts w:ascii="Segoe UI" w:hAnsi="Segoe UI"/>
          <w:color w:val="333333"/>
          <w:sz w:val="21"/>
        </w:rPr>
        <w:t>: Nhân viên mua hàng tạo Đề nghị mua hàng (PR).</w:t>
      </w:r>
    </w:p>
    <w:p>
      <w:pPr>
        <w:pStyle w:val="ListBullet"/>
        <w:spacing w:after="80" w:line="276" w:lineRule="auto"/>
      </w:pPr>
      <w:r>
        <w:rPr>
          <w:rFonts w:ascii="Segoe UI" w:hAnsi="Segoe UI"/>
          <w:color w:val="333333"/>
          <w:sz w:val="21"/>
        </w:rPr>
      </w:r>
      <w:r>
        <w:rPr>
          <w:rFonts w:ascii="Segoe UI" w:hAnsi="Segoe UI"/>
          <w:b/>
          <w:color w:val="333333"/>
          <w:sz w:val="21"/>
        </w:rPr>
        <w:t>Phê duyệt</w:t>
      </w:r>
      <w:r>
        <w:rPr>
          <w:rFonts w:ascii="Segoe UI" w:hAnsi="Segoe UI"/>
          <w:color w:val="333333"/>
          <w:sz w:val="21"/>
        </w:rPr>
        <w:t>: Đề nghị mua đi qua quy trình duyệt (tối đa 4 cấp gồm Trưởng PVT → R&amp;D → Giám Đốc → Phó Giám Đốc) tùy thuộc vào giá trị đơn hàng và loại nguyên liệu (có trong danh mục được duyệt hay là hóa chất mới).</w:t>
      </w:r>
    </w:p>
    <w:p>
      <w:pPr>
        <w:pStyle w:val="ListBullet"/>
        <w:spacing w:after="80" w:line="276" w:lineRule="auto"/>
      </w:pPr>
      <w:r>
        <w:rPr>
          <w:rFonts w:ascii="Segoe UI" w:hAnsi="Segoe UI"/>
          <w:color w:val="333333"/>
          <w:sz w:val="21"/>
        </w:rPr>
      </w:r>
      <w:r>
        <w:rPr>
          <w:rFonts w:ascii="Segoe UI" w:hAnsi="Segoe UI"/>
          <w:b/>
          <w:color w:val="333333"/>
          <w:sz w:val="21"/>
        </w:rPr>
        <w:t>Đơn mua hàng (PO)</w:t>
      </w:r>
      <w:r>
        <w:rPr>
          <w:rFonts w:ascii="Segoe UI" w:hAnsi="Segoe UI"/>
          <w:color w:val="333333"/>
          <w:sz w:val="21"/>
        </w:rPr>
        <w:t>: Sau khi được duyệt giá, nhân viên mua hàng lập đơn mua hàng (PO) trên hệ thống và gửi cho Nhà cung cấp (NCC).</w:t>
      </w:r>
    </w:p>
    <w:p>
      <w:pPr>
        <w:keepNext/>
        <w:spacing w:before="160" w:after="40"/>
      </w:pPr>
      <w:r>
        <w:rPr>
          <w:rFonts w:ascii="Segoe UI" w:hAnsi="Segoe UI"/>
          <w:b/>
          <w:color w:val="7F7F7F"/>
          <w:sz w:val="22"/>
        </w:rPr>
        <w:t>3. Nhận hàng &amp; Kiểm tra QC đầu vào</w:t>
      </w:r>
    </w:p>
    <w:p>
      <w:pPr>
        <w:pStyle w:val="ListBullet"/>
        <w:spacing w:after="80" w:line="276" w:lineRule="auto"/>
      </w:pPr>
      <w:r>
        <w:rPr>
          <w:rFonts w:ascii="Segoe UI" w:hAnsi="Segoe UI"/>
          <w:color w:val="333333"/>
          <w:sz w:val="21"/>
        </w:rPr>
      </w:r>
      <w:r>
        <w:rPr>
          <w:rFonts w:ascii="Segoe UI" w:hAnsi="Segoe UI"/>
          <w:b/>
          <w:color w:val="333333"/>
          <w:sz w:val="21"/>
        </w:rPr>
        <w:t>Bàn giao</w:t>
      </w:r>
      <w:r>
        <w:rPr>
          <w:rFonts w:ascii="Segoe UI" w:hAnsi="Segoe UI"/>
          <w:color w:val="333333"/>
          <w:sz w:val="21"/>
        </w:rPr>
        <w:t>: NCC giao hàng đến bãi nhận của BTChem, thủ kho tiến hành kiểm đếm số lượng và dán nhãn cách ly chờ kiểm.</w:t>
      </w:r>
    </w:p>
    <w:p>
      <w:pPr>
        <w:pStyle w:val="ListBullet"/>
        <w:spacing w:after="80" w:line="276" w:lineRule="auto"/>
      </w:pPr>
      <w:r>
        <w:rPr>
          <w:rFonts w:ascii="Segoe UI" w:hAnsi="Segoe UI"/>
          <w:color w:val="333333"/>
          <w:sz w:val="21"/>
        </w:rPr>
      </w:r>
      <w:r>
        <w:rPr>
          <w:rFonts w:ascii="Segoe UI" w:hAnsi="Segoe UI"/>
          <w:b/>
          <w:color w:val="333333"/>
          <w:sz w:val="21"/>
        </w:rPr>
        <w:t>Kiểm QC (QC1 &amp; QC2)</w:t>
      </w:r>
      <w:r>
        <w:rPr>
          <w:rFonts w:ascii="Segoe UI" w:hAnsi="Segoe UI"/>
          <w:color w:val="333333"/>
          <w:sz w:val="21"/>
        </w:rPr>
        <w:t>:</w:t>
      </w:r>
    </w:p>
    <w:p>
      <w:pPr>
        <w:pStyle w:val="ListBullet"/>
        <w:spacing w:after="80" w:line="276" w:lineRule="auto"/>
      </w:pPr>
      <w:r>
        <w:rPr>
          <w:rFonts w:ascii="Segoe UI" w:hAnsi="Segoe UI"/>
          <w:color w:val="333333"/>
          <w:sz w:val="21"/>
        </w:rPr>
        <w:t xml:space="preserve">Nhân viên QC lấy mẫu kiểm tra chất lượng theo lô. Đặc biệt đối với bột màu (nguyên liệu nhạy cảm nhất), QC1 thực hiện lấy mẫu kiểm định </w:t>
      </w:r>
      <w:r>
        <w:rPr>
          <w:rFonts w:ascii="Segoe UI" w:hAnsi="Segoe UI"/>
          <w:b/>
          <w:color w:val="333333"/>
          <w:sz w:val="21"/>
        </w:rPr>
        <w:t>30% trên tổng số bao của mỗi lô</w:t>
      </w:r>
      <w:r>
        <w:rPr>
          <w:rFonts w:ascii="Segoe UI" w:hAnsi="Segoe UI"/>
          <w:color w:val="333333"/>
          <w:sz w:val="21"/>
        </w:rPr>
        <w:t>.</w:t>
      </w:r>
    </w:p>
    <w:p>
      <w:pPr>
        <w:pStyle w:val="ListBullet"/>
        <w:spacing w:after="80" w:line="276" w:lineRule="auto"/>
      </w:pPr>
      <w:r>
        <w:rPr>
          <w:rFonts w:ascii="Segoe UI" w:hAnsi="Segoe UI"/>
          <w:color w:val="333333"/>
          <w:sz w:val="21"/>
        </w:rPr>
        <w:t>Nếu đạt tiêu chuẩn -&gt; QC chuyển trạng thái lô hàng thành "Đạt chất lượng", thủ kho làm phiếu Nhập kho NVL đưa hàng vào vị trí kệ lưu trữ.</w:t>
      </w:r>
    </w:p>
    <w:p>
      <w:pPr>
        <w:pStyle w:val="ListBullet"/>
        <w:spacing w:after="80" w:line="276" w:lineRule="auto"/>
      </w:pPr>
      <w:r>
        <w:rPr>
          <w:rFonts w:ascii="Segoe UI" w:hAnsi="Segoe UI"/>
          <w:color w:val="333333"/>
          <w:sz w:val="21"/>
        </w:rPr>
        <w:t>Nếu không đạt -&gt; Xuất phiếu NCR (Hàng không đạt), cách ly hàng hóa và gửi thông báo trả lại hàng cho NCC.</w:t>
      </w:r>
    </w:p>
    <w:p>
      <w:pPr>
        <w:keepNext/>
        <w:spacing w:before="160" w:after="40"/>
      </w:pPr>
      <w:r>
        <w:rPr>
          <w:rFonts w:ascii="Segoe UI" w:hAnsi="Segoe UI"/>
          <w:b/>
          <w:color w:val="7F7F7F"/>
          <w:sz w:val="22"/>
        </w:rPr>
        <w:t>4. Đối chiếu 3 bên &amp; Thanh toán (AP)</w:t>
      </w:r>
    </w:p>
    <w:p>
      <w:pPr>
        <w:pStyle w:val="ListBullet"/>
        <w:spacing w:after="80" w:line="276" w:lineRule="auto"/>
      </w:pPr>
      <w:r>
        <w:rPr>
          <w:rFonts w:ascii="Segoe UI" w:hAnsi="Segoe UI"/>
          <w:color w:val="333333"/>
          <w:sz w:val="21"/>
        </w:rPr>
        <w:t xml:space="preserve">Cuối tháng hoặc theo kỳ thanh toán, Kế toán mua hàng thực hiện quy trình </w:t>
      </w:r>
      <w:r>
        <w:rPr>
          <w:rFonts w:ascii="Segoe UI" w:hAnsi="Segoe UI"/>
          <w:b/>
          <w:color w:val="333333"/>
          <w:sz w:val="21"/>
        </w:rPr>
        <w:t>đối chiếu 3 bên (3-way matching)</w:t>
      </w:r>
      <w:r>
        <w:rPr>
          <w:rFonts w:ascii="Segoe UI" w:hAnsi="Segoe UI"/>
          <w:color w:val="333333"/>
          <w:sz w:val="21"/>
        </w:rPr>
        <w:t xml:space="preserve"> bao gồm: Đơn mua hàng (PO) – Phiếu nhập kho thực tế – Hóa đơn tài chính từ NCC để xử lý chênh lệch và lập kế hoạch thanh toán (AP).</w:t>
      </w:r>
    </w:p>
    <w:p>
      <w:pPr>
        <w:spacing w:before="240" w:after="240"/>
        <w:pBrd>
          <w:bottom w:val="single" w:sz="6" w:space="1" w:color="D9D9D9"/>
        </w:pBrd>
      </w:pPr>
    </w:p>
    <w:p>
      <w:pPr>
        <w:keepNext/>
        <w:spacing w:before="200" w:after="40"/>
      </w:pPr>
      <w:r>
        <w:rPr>
          <w:rFonts w:ascii="Segoe UI" w:hAnsi="Segoe UI"/>
          <w:b/>
          <w:color w:val="595959"/>
          <w:sz w:val="24"/>
        </w:rPr>
        <w:t>PHÂN ĐOẠN 3: QUY TRÌNH THIẾT KẾ &amp; SẢN XUẤT (DESIGN-TO-BUILD)</w:t>
      </w:r>
    </w:p>
    <w:p>
      <w:pPr>
        <w:spacing w:after="120" w:line="276" w:lineRule="auto"/>
      </w:pPr>
      <w:r>
        <w:rPr>
          <w:rFonts w:ascii="Segoe UI" w:hAnsi="Segoe UI"/>
          <w:color w:val="333333"/>
          <w:sz w:val="21"/>
        </w:rPr>
        <w:t>Quy trình chuyển đổi công thức của R&amp;D thành sản phẩm sơn thực tế tại các xưởng, kết hợp các điểm kiểm soát chất lượng QC nghiêm ngặt.</w:t>
      </w:r>
    </w:p>
    <w:p>
      <w:pPr>
        <w:keepNext/>
        <w:spacing w:before="160" w:after="40"/>
      </w:pPr>
      <w:r>
        <w:rPr>
          <w:rFonts w:ascii="Segoe UI" w:hAnsi="Segoe UI"/>
          <w:b/>
          <w:color w:val="7F7F7F"/>
          <w:sz w:val="22"/>
        </w:rPr>
        <w:t>1. Phát triển Sản phẩm &amp; Quản lý BOM (R&amp;D)</w:t>
      </w:r>
    </w:p>
    <w:p>
      <w:pPr>
        <w:pStyle w:val="ListBullet"/>
        <w:spacing w:after="80" w:line="276" w:lineRule="auto"/>
      </w:pPr>
      <w:r>
        <w:rPr>
          <w:rFonts w:ascii="Segoe UI" w:hAnsi="Segoe UI"/>
          <w:color w:val="333333"/>
          <w:sz w:val="21"/>
        </w:rPr>
        <w:t>Phòng R&amp;D tiếp nhận yêu cầu mẫu mới hoặc cải tiến chất lượng từ Ban lãnh đạo hoặc PKD. Tiến hành pha chế thử nghiệm, đánh giá độ ổn định sản phẩm.</w:t>
      </w:r>
    </w:p>
    <w:p>
      <w:pPr>
        <w:pStyle w:val="ListBullet"/>
        <w:spacing w:after="80" w:line="276" w:lineRule="auto"/>
      </w:pPr>
      <w:r>
        <w:rPr>
          <w:rFonts w:ascii="Segoe UI" w:hAnsi="Segoe UI"/>
          <w:color w:val="333333"/>
          <w:sz w:val="21"/>
        </w:rPr>
        <w:t>Khi công thức sơn hoàn chỉnh, Trưởng phòng R&amp;D phê duyệt công thức định mức (BOM) chuẩn trên hệ thống.</w:t>
      </w:r>
    </w:p>
    <w:p>
      <w:pPr>
        <w:pStyle w:val="ListBullet"/>
        <w:spacing w:after="80" w:line="276" w:lineRule="auto"/>
      </w:pPr>
      <w:r>
        <w:rPr>
          <w:rFonts w:ascii="Segoe UI" w:hAnsi="Segoe UI"/>
          <w:color w:val="333333"/>
          <w:sz w:val="21"/>
        </w:rPr>
      </w:r>
      <w:r>
        <w:rPr>
          <w:rFonts w:ascii="Segoe UI" w:hAnsi="Segoe UI"/>
          <w:i/>
          <w:color w:val="333333"/>
          <w:sz w:val="21"/>
        </w:rPr>
        <w:t>Ngoại lệ</w:t>
      </w:r>
      <w:r>
        <w:rPr>
          <w:rFonts w:ascii="Segoe UI" w:hAnsi="Segoe UI"/>
          <w:color w:val="333333"/>
          <w:sz w:val="21"/>
        </w:rPr>
        <w:t>: Khi phát sinh thay đổi nhà cung cấp nguyên liệu chính hoặc tìm được nguyên liệu thay thế tốt hơn, R&amp;D phải lập đề xuất thay thế nguyên liệu trình Giám Đốc phê duyệt mới được cập nhật lại BOM sản xuất.</w:t>
      </w:r>
    </w:p>
    <w:p>
      <w:pPr>
        <w:keepNext/>
        <w:spacing w:before="160" w:after="40"/>
      </w:pPr>
      <w:r>
        <w:rPr>
          <w:rFonts w:ascii="Segoe UI" w:hAnsi="Segoe UI"/>
          <w:b/>
          <w:color w:val="7F7F7F"/>
          <w:sz w:val="22"/>
        </w:rPr>
        <w:t>2. Lập Lệnh sản xuất &amp; Xuất nguyên liệu sang Xưởng</w:t>
      </w:r>
    </w:p>
    <w:p>
      <w:pPr>
        <w:pStyle w:val="ListBullet"/>
        <w:spacing w:after="80" w:line="276" w:lineRule="auto"/>
      </w:pPr>
      <w:r>
        <w:rPr>
          <w:rFonts w:ascii="Segoe UI" w:hAnsi="Segoe UI"/>
          <w:color w:val="333333"/>
          <w:sz w:val="21"/>
        </w:rPr>
        <w:t>Dành cho khối xưởng: các Quản lý xưởng tạo Lệnh sản xuất (mẫu giấy bản cứng) để chỉ đạo sản xuất.</w:t>
      </w:r>
    </w:p>
    <w:p>
      <w:pPr>
        <w:pStyle w:val="ListBullet"/>
        <w:spacing w:after="80" w:line="276" w:lineRule="auto"/>
      </w:pPr>
      <w:r>
        <w:rPr>
          <w:rFonts w:ascii="Segoe UI" w:hAnsi="Segoe UI"/>
          <w:color w:val="333333"/>
          <w:sz w:val="21"/>
        </w:rPr>
        <w:t xml:space="preserve">Xưởng lập Phiếu đề nghị xuất NVL gửi Kho. Phiếu này sau khi được PVT/Thủ kho duyệt chỉ có hiệu lực lấy hàng trong vòng </w:t>
      </w:r>
      <w:r>
        <w:rPr>
          <w:rFonts w:ascii="Segoe UI" w:hAnsi="Segoe UI"/>
          <w:b/>
          <w:color w:val="333333"/>
          <w:sz w:val="21"/>
        </w:rPr>
        <w:t>24 giờ</w:t>
      </w:r>
      <w:r>
        <w:rPr>
          <w:rFonts w:ascii="Segoe UI" w:hAnsi="Segoe UI"/>
          <w:color w:val="333333"/>
          <w:sz w:val="21"/>
        </w:rPr>
        <w:t xml:space="preserve"> để tránh tồn đọng nguyên liệu tại xưởng. Kho tiến hành xuất kho và bàn giao nguyên liệu cho xưởng sản xuất.</w:t>
      </w:r>
    </w:p>
    <w:p>
      <w:pPr>
        <w:keepNext/>
        <w:spacing w:before="160" w:after="40"/>
      </w:pPr>
      <w:r>
        <w:rPr>
          <w:rFonts w:ascii="Segoe UI" w:hAnsi="Segoe UI"/>
          <w:b/>
          <w:color w:val="7F7F7F"/>
          <w:sz w:val="22"/>
        </w:rPr>
        <w:t>3. Quy trình Pha chế tại các Xưởng</w:t>
      </w:r>
    </w:p>
    <w:p>
      <w:pPr>
        <w:spacing w:after="120" w:line="276" w:lineRule="auto"/>
      </w:pPr>
      <w:r>
        <w:rPr>
          <w:rFonts w:ascii="Segoe UI" w:hAnsi="Segoe UI"/>
          <w:color w:val="333333"/>
          <w:sz w:val="21"/>
        </w:rPr>
        <w:t>Quá trình sản xuất được phân chia theo 4 xưởng chuyên biệt:</w:t>
      </w:r>
    </w:p>
    <w:p>
      <w:pPr>
        <w:pStyle w:val="ListBullet"/>
        <w:spacing w:after="80" w:line="276" w:lineRule="auto"/>
      </w:pPr>
      <w:r>
        <w:rPr>
          <w:rFonts w:ascii="Segoe UI" w:hAnsi="Segoe UI"/>
          <w:color w:val="333333"/>
          <w:sz w:val="21"/>
        </w:rPr>
      </w:r>
      <w:r>
        <w:rPr>
          <w:rFonts w:ascii="Segoe UI" w:hAnsi="Segoe UI"/>
          <w:b/>
          <w:color w:val="333333"/>
          <w:sz w:val="21"/>
        </w:rPr>
        <w:t>Xưởng Sơn Nước</w:t>
      </w:r>
      <w:r>
        <w:rPr>
          <w:rFonts w:ascii="Segoe UI" w:hAnsi="Segoe UI"/>
          <w:color w:val="333333"/>
          <w:sz w:val="21"/>
        </w:rPr>
        <w:t>: Vận hành sản xuất các dòng sơn gốc nước (BOM nhiều cấp gồm sản xuất sơn màu gốc bán thành phẩm trước, sau đó phối màu thành sơn thành phẩm). Nút thắt công suất nằm ở khâu phân tán, nghiền và bơm lọc chiết rót.</w:t>
      </w:r>
    </w:p>
    <w:p>
      <w:pPr>
        <w:pStyle w:val="ListBullet"/>
        <w:spacing w:after="80" w:line="276" w:lineRule="auto"/>
      </w:pPr>
      <w:r>
        <w:rPr>
          <w:rFonts w:ascii="Segoe UI" w:hAnsi="Segoe UI"/>
          <w:color w:val="333333"/>
          <w:sz w:val="21"/>
        </w:rPr>
      </w:r>
      <w:r>
        <w:rPr>
          <w:rFonts w:ascii="Segoe UI" w:hAnsi="Segoe UI"/>
          <w:b/>
          <w:color w:val="333333"/>
          <w:sz w:val="21"/>
        </w:rPr>
        <w:t>Xưởng Dung Môi</w:t>
      </w:r>
      <w:r>
        <w:rPr>
          <w:rFonts w:ascii="Segoe UI" w:hAnsi="Segoe UI"/>
          <w:color w:val="333333"/>
          <w:sz w:val="21"/>
        </w:rPr>
        <w:t>: Sản xuất theo mẻ lớn (batch size trung bình ~1.000 kg/lô), thiết bị là máy khuấy và bồn trộn tự động, tỷ lệ hao hụt dao động từ 0.4% - 0.8%, thời gian sản xuất từ 1-3 ngày.</w:t>
      </w:r>
    </w:p>
    <w:p>
      <w:pPr>
        <w:pStyle w:val="ListBullet"/>
        <w:spacing w:after="80" w:line="276" w:lineRule="auto"/>
      </w:pPr>
      <w:r>
        <w:rPr>
          <w:rFonts w:ascii="Segoe UI" w:hAnsi="Segoe UI"/>
          <w:color w:val="333333"/>
          <w:sz w:val="21"/>
        </w:rPr>
      </w:r>
      <w:r>
        <w:rPr>
          <w:rFonts w:ascii="Segoe UI" w:hAnsi="Segoe UI"/>
          <w:b/>
          <w:color w:val="333333"/>
          <w:sz w:val="21"/>
        </w:rPr>
        <w:t>Xưởng Dầu Bóng</w:t>
      </w:r>
      <w:r>
        <w:rPr>
          <w:rFonts w:ascii="Segoe UI" w:hAnsi="Segoe UI"/>
          <w:color w:val="333333"/>
          <w:sz w:val="21"/>
        </w:rPr>
        <w:t>: Sản xuất các dòng sơn phủ dầu bóng UV/NC/PU theo lô. Yêu cầu bảo mật công thức BOM rất cao.</w:t>
      </w:r>
    </w:p>
    <w:p>
      <w:pPr>
        <w:pStyle w:val="ListBullet"/>
        <w:spacing w:after="80" w:line="276" w:lineRule="auto"/>
      </w:pPr>
      <w:r>
        <w:rPr>
          <w:rFonts w:ascii="Segoe UI" w:hAnsi="Segoe UI"/>
          <w:color w:val="333333"/>
          <w:sz w:val="21"/>
        </w:rPr>
      </w:r>
      <w:r>
        <w:rPr>
          <w:rFonts w:ascii="Segoe UI" w:hAnsi="Segoe UI"/>
          <w:b/>
          <w:color w:val="333333"/>
          <w:sz w:val="21"/>
        </w:rPr>
        <w:t>Xưởng Màu (Pha màu)</w:t>
      </w:r>
      <w:r>
        <w:rPr>
          <w:rFonts w:ascii="Segoe UI" w:hAnsi="Segoe UI"/>
          <w:color w:val="333333"/>
          <w:sz w:val="21"/>
        </w:rPr>
        <w:t xml:space="preserve">: Đây là nút thắt công suất lớn nhất nhà máy do tính chất pha chế phức tạp, đòi hỏi thời gian pha chế lên đến </w:t>
      </w:r>
      <w:r>
        <w:rPr>
          <w:rFonts w:ascii="Segoe UI" w:hAnsi="Segoe UI"/>
          <w:b/>
          <w:color w:val="333333"/>
          <w:sz w:val="21"/>
        </w:rPr>
        <w:t>72 giờ cho mỗi mẻ màu</w:t>
      </w:r>
      <w:r>
        <w:rPr>
          <w:rFonts w:ascii="Segoe UI" w:hAnsi="Segoe UI"/>
          <w:color w:val="333333"/>
          <w:sz w:val="21"/>
        </w:rPr>
        <w:t xml:space="preserve"> để đối chiếu với thẻ màu mẫu của khách hàng. Phát sinh lượng dung môi dơ hàng tuần phải gom lại phân loại để chuyển xử lý/tái chế.</w:t>
      </w:r>
    </w:p>
    <w:p>
      <w:pPr>
        <w:keepNext/>
        <w:spacing w:before="160" w:after="40"/>
      </w:pPr>
      <w:r>
        <w:rPr>
          <w:rFonts w:ascii="Segoe UI" w:hAnsi="Segoe UI"/>
          <w:b/>
          <w:color w:val="7F7F7F"/>
          <w:sz w:val="22"/>
        </w:rPr>
        <w:t>4. Kiểm QC trong công đoạn &amp; Kiểm định kỳ (QC1 &amp; QC2)</w:t>
      </w:r>
    </w:p>
    <w:p>
      <w:pPr>
        <w:pStyle w:val="ListBullet"/>
        <w:spacing w:after="80" w:line="276" w:lineRule="auto"/>
      </w:pPr>
      <w:r>
        <w:rPr>
          <w:rFonts w:ascii="Segoe UI" w:hAnsi="Segoe UI"/>
          <w:color w:val="333333"/>
          <w:sz w:val="21"/>
        </w:rPr>
        <w:t>QC lấy mẫu kiểm tra tại 3 chặng sản xuất:</w:t>
      </w:r>
    </w:p>
    <w:p>
      <w:pPr>
        <w:spacing w:after="80" w:line="276" w:lineRule="auto"/>
      </w:pPr>
      <w:r>
        <w:rPr>
          <w:rFonts w:ascii="Segoe UI" w:hAnsi="Segoe UI"/>
          <w:b/>
          <w:color w:val="333333"/>
          <w:sz w:val="21"/>
        </w:rPr>
        <w:t xml:space="preserve">1. </w:t>
      </w:r>
      <w:r>
        <w:rPr>
          <w:rFonts w:ascii="Segoe UI" w:hAnsi="Segoe UI"/>
          <w:color w:val="333333"/>
          <w:sz w:val="21"/>
        </w:rPr>
        <w:t>Kiểm tra bán thành phẩm (WIP) sau khi nghiền/phân tán.</w:t>
      </w:r>
    </w:p>
    <w:p>
      <w:pPr>
        <w:spacing w:after="80" w:line="276" w:lineRule="auto"/>
      </w:pPr>
      <w:r>
        <w:rPr>
          <w:rFonts w:ascii="Segoe UI" w:hAnsi="Segoe UI"/>
          <w:b/>
          <w:color w:val="333333"/>
          <w:sz w:val="21"/>
        </w:rPr>
        <w:t xml:space="preserve">2. </w:t>
      </w:r>
      <w:r>
        <w:rPr>
          <w:rFonts w:ascii="Segoe UI" w:hAnsi="Segoe UI"/>
          <w:color w:val="333333"/>
          <w:sz w:val="21"/>
        </w:rPr>
        <w:t>Kiểm tra thành phẩm trước khi chiết rót đóng gói (1 mẫu/lô).</w:t>
      </w:r>
    </w:p>
    <w:p>
      <w:pPr>
        <w:spacing w:after="80" w:line="276" w:lineRule="auto"/>
      </w:pPr>
      <w:r>
        <w:rPr>
          <w:rFonts w:ascii="Segoe UI" w:hAnsi="Segoe UI"/>
          <w:b/>
          <w:color w:val="333333"/>
          <w:sz w:val="21"/>
        </w:rPr>
        <w:t xml:space="preserve">3. </w:t>
      </w:r>
      <w:r>
        <w:rPr>
          <w:rFonts w:ascii="Segoe UI" w:hAnsi="Segoe UI"/>
          <w:color w:val="333333"/>
          <w:sz w:val="21"/>
        </w:rPr>
        <w:t>Kiểm định kỳ hàng lưu kho (định kỳ 3 tháng, 6 tháng) để đảm bảo chất lượng sơn không bị lắng cặn hay biến tính.</w:t>
      </w:r>
    </w:p>
    <w:p>
      <w:pPr>
        <w:pStyle w:val="ListBullet"/>
        <w:spacing w:after="80" w:line="276" w:lineRule="auto"/>
      </w:pPr>
      <w:r>
        <w:rPr>
          <w:rFonts w:ascii="Segoe UI" w:hAnsi="Segoe UI"/>
          <w:color w:val="333333"/>
          <w:sz w:val="21"/>
        </w:rPr>
        <w:t>Nếu mẻ sơn đạt -&gt; Xưởng đóng gói, dán nhãn số lô (Lot No) để nhập kho thành phẩm.</w:t>
      </w:r>
    </w:p>
    <w:p>
      <w:pPr>
        <w:pStyle w:val="ListBullet"/>
        <w:spacing w:after="80" w:line="276" w:lineRule="auto"/>
      </w:pPr>
      <w:r>
        <w:rPr>
          <w:rFonts w:ascii="Segoe UI" w:hAnsi="Segoe UI"/>
          <w:color w:val="333333"/>
          <w:sz w:val="21"/>
        </w:rPr>
        <w:t>If mẻ sơn lỗi -&gt; QC xuất phiếu NCR, xưởng phối hợp R&amp;D xác định phương án tái chế hoặc hủy mẻ hàng.</w:t>
      </w:r>
    </w:p>
    <w:p>
      <w:pPr>
        <w:pStyle w:val="ListBullet"/>
        <w:spacing w:after="80" w:line="276" w:lineRule="auto"/>
      </w:pPr>
      <w:r>
        <w:rPr>
          <w:rFonts w:ascii="Segoe UI" w:hAnsi="Segoe UI"/>
          <w:color w:val="333333"/>
          <w:sz w:val="21"/>
        </w:rPr>
      </w:r>
      <w:r>
        <w:rPr>
          <w:rFonts w:ascii="Segoe UI" w:hAnsi="Segoe UI"/>
          <w:b/>
          <w:color w:val="333333"/>
          <w:sz w:val="21"/>
        </w:rPr>
        <w:t>Ngoại lệ Xưởng Dầu Bóng</w:t>
      </w:r>
      <w:r>
        <w:rPr>
          <w:rFonts w:ascii="Segoe UI" w:hAnsi="Segoe UI"/>
          <w:color w:val="333333"/>
          <w:sz w:val="21"/>
        </w:rPr>
        <w:t>: Thành phẩm sản xuất xong được làm thủ tục nhập kho thành phẩm ngay trước khi có kết quả QC đạt chính thức (kết quả kiểm nghiệm có sau 1 ngày). KTP có trách nhiệm khóa số tồn kho của lô dầu bóng này trên hệ thống, tuyệt đối không cho phép xuất bán cho đến khi có kết quả duyệt Đạt của QC vào ngày hôm sau.</w:t>
      </w:r>
    </w:p>
    <w:p>
      <w:pPr>
        <w:spacing w:before="240" w:after="240"/>
        <w:pBrd>
          <w:bottom w:val="single" w:sz="6" w:space="1" w:color="D9D9D9"/>
        </w:pBrd>
      </w:pPr>
    </w:p>
    <w:p>
      <w:pPr>
        <w:keepNext/>
        <w:spacing w:before="200" w:after="40"/>
      </w:pPr>
      <w:r>
        <w:rPr>
          <w:rFonts w:ascii="Segoe UI" w:hAnsi="Segoe UI"/>
          <w:b/>
          <w:color w:val="595959"/>
          <w:sz w:val="24"/>
        </w:rPr>
        <w:t>PHÂN ĐOẠN 4: QUY TRÌNH TÀI CHÍNH - GIÁ THÀNH &amp; ĐỒNG SỔ (RECORD-TO-REPORT)</w:t>
      </w:r>
    </w:p>
    <w:p>
      <w:pPr>
        <w:spacing w:after="120" w:line="276" w:lineRule="auto"/>
      </w:pPr>
      <w:r>
        <w:rPr>
          <w:rFonts w:ascii="Segoe UI" w:hAnsi="Segoe UI"/>
          <w:color w:val="333333"/>
          <w:sz w:val="21"/>
        </w:rPr>
        <w:t>Quy trình quản lý dữ liệu kế toán tài chính, kết chuyển chi phí và lập báo cáo quản trị định kỳ gửi Ban Giám Đốc.</w:t>
      </w:r>
    </w:p>
    <w:p>
      <w:pPr>
        <w:keepNext/>
        <w:spacing w:before="160" w:after="40"/>
      </w:pPr>
      <w:r>
        <w:rPr>
          <w:rFonts w:ascii="Segoe UI" w:hAnsi="Segoe UI"/>
          <w:b/>
          <w:color w:val="7F7F7F"/>
          <w:sz w:val="22"/>
        </w:rPr>
        <w:t>1. Tập hợp Chi phí sản xuất thực tế</w:t>
      </w:r>
    </w:p>
    <w:p>
      <w:pPr>
        <w:pStyle w:val="ListBullet"/>
        <w:spacing w:after="80" w:line="276" w:lineRule="auto"/>
      </w:pPr>
      <w:r>
        <w:rPr>
          <w:rFonts w:ascii="Segoe UI" w:hAnsi="Segoe UI"/>
          <w:color w:val="333333"/>
          <w:sz w:val="21"/>
        </w:rPr>
        <w:t>Cuối tháng, Kế toán chi phí tập hợp toàn bộ các chi phí cấu thành nên sản phẩm:</w:t>
      </w:r>
    </w:p>
    <w:p>
      <w:pPr>
        <w:pStyle w:val="ListBullet"/>
        <w:spacing w:after="80" w:line="276" w:lineRule="auto"/>
      </w:pPr>
      <w:r>
        <w:rPr>
          <w:rFonts w:ascii="Segoe UI" w:hAnsi="Segoe UI"/>
          <w:color w:val="333333"/>
          <w:sz w:val="21"/>
        </w:rPr>
      </w:r>
      <w:r>
        <w:rPr>
          <w:rFonts w:ascii="Segoe UI" w:hAnsi="Segoe UI"/>
          <w:b/>
          <w:color w:val="333333"/>
          <w:sz w:val="21"/>
        </w:rPr>
        <w:t>Chi phí nguyên vật liệu trực tiếp</w:t>
      </w:r>
      <w:r>
        <w:rPr>
          <w:rFonts w:ascii="Segoe UI" w:hAnsi="Segoe UI"/>
          <w:color w:val="333333"/>
          <w:sz w:val="21"/>
        </w:rPr>
        <w:t>: Số lượng NVL xuất dùng thực tế từ kho vật tư cho từng lệnh sản xuất.</w:t>
      </w:r>
    </w:p>
    <w:p>
      <w:pPr>
        <w:pStyle w:val="ListBullet"/>
        <w:spacing w:after="80" w:line="276" w:lineRule="auto"/>
      </w:pPr>
      <w:r>
        <w:rPr>
          <w:rFonts w:ascii="Segoe UI" w:hAnsi="Segoe UI"/>
          <w:color w:val="333333"/>
          <w:sz w:val="21"/>
        </w:rPr>
      </w:r>
      <w:r>
        <w:rPr>
          <w:rFonts w:ascii="Segoe UI" w:hAnsi="Segoe UI"/>
          <w:b/>
          <w:color w:val="333333"/>
          <w:sz w:val="21"/>
        </w:rPr>
        <w:t>Chi phí nhân công trực tiếp</w:t>
      </w:r>
      <w:r>
        <w:rPr>
          <w:rFonts w:ascii="Segoe UI" w:hAnsi="Segoe UI"/>
          <w:color w:val="333333"/>
          <w:sz w:val="21"/>
        </w:rPr>
        <w:t>: Lương của công nhân sản xuất tại từng xưởng.</w:t>
      </w:r>
    </w:p>
    <w:p>
      <w:pPr>
        <w:pStyle w:val="ListBullet"/>
        <w:spacing w:after="80" w:line="276" w:lineRule="auto"/>
      </w:pPr>
      <w:r>
        <w:rPr>
          <w:rFonts w:ascii="Segoe UI" w:hAnsi="Segoe UI"/>
          <w:color w:val="333333"/>
          <w:sz w:val="21"/>
        </w:rPr>
      </w:r>
      <w:r>
        <w:rPr>
          <w:rFonts w:ascii="Segoe UI" w:hAnsi="Segoe UI"/>
          <w:b/>
          <w:color w:val="333333"/>
          <w:sz w:val="21"/>
        </w:rPr>
        <w:t>Chi phí sản xuất chung</w:t>
      </w:r>
      <w:r>
        <w:rPr>
          <w:rFonts w:ascii="Segoe UI" w:hAnsi="Segoe UI"/>
          <w:color w:val="333333"/>
          <w:sz w:val="21"/>
        </w:rPr>
        <w:t>: Khấu hao nhà xưởng/máy móc thiết bị sản xuất, tiền điện, nước, phân bổ chi phí công cụ dụng cụ (CCDC) nhiều kỳ.</w:t>
      </w:r>
    </w:p>
    <w:p>
      <w:pPr>
        <w:keepNext/>
        <w:spacing w:before="160" w:after="40"/>
      </w:pPr>
      <w:r>
        <w:rPr>
          <w:rFonts w:ascii="Segoe UI" w:hAnsi="Segoe UI"/>
          <w:b/>
          <w:color w:val="7F7F7F"/>
          <w:sz w:val="22"/>
        </w:rPr>
        <w:t>2. Tính Giá thành sản xuất thực tế &amp; Phân tích chênh lệch</w:t>
      </w:r>
    </w:p>
    <w:p>
      <w:pPr>
        <w:pStyle w:val="ListBullet"/>
        <w:spacing w:after="80" w:line="276" w:lineRule="auto"/>
      </w:pPr>
      <w:r>
        <w:rPr>
          <w:rFonts w:ascii="Segoe UI" w:hAnsi="Segoe UI"/>
          <w:color w:val="333333"/>
          <w:sz w:val="21"/>
        </w:rPr>
        <w:t>Kế toán tính toán giá thành thực tế cho từng mã thành phẩm nhập kho trong tháng.</w:t>
      </w:r>
    </w:p>
    <w:p>
      <w:pPr>
        <w:pStyle w:val="ListBullet"/>
        <w:spacing w:after="80" w:line="276" w:lineRule="auto"/>
      </w:pPr>
      <w:r>
        <w:rPr>
          <w:rFonts w:ascii="Segoe UI" w:hAnsi="Segoe UI"/>
          <w:color w:val="333333"/>
          <w:sz w:val="21"/>
        </w:rPr>
        <w:t xml:space="preserve">Thực hiện </w:t>
      </w:r>
      <w:r>
        <w:rPr>
          <w:rFonts w:ascii="Segoe UI" w:hAnsi="Segoe UI"/>
          <w:b/>
          <w:color w:val="333333"/>
          <w:sz w:val="21"/>
        </w:rPr>
        <w:t>phân tích chênh lệch (Variance Analysis)</w:t>
      </w:r>
      <w:r>
        <w:rPr>
          <w:rFonts w:ascii="Segoe UI" w:hAnsi="Segoe UI"/>
          <w:color w:val="333333"/>
          <w:sz w:val="21"/>
        </w:rPr>
        <w:t xml:space="preserve"> giữa chi phí thực tế tiêu hao so với định mức (BOM chuẩn của R&amp;D) để phát hiện chênh lệch định mức hao hụt tại các xưởng, kịp thời báo cáo Ban Giám Đốc điều chỉnh.</w:t>
      </w:r>
    </w:p>
    <w:p>
      <w:pPr>
        <w:keepNext/>
        <w:spacing w:before="160" w:after="40"/>
      </w:pPr>
      <w:r>
        <w:rPr>
          <w:rFonts w:ascii="Segoe UI" w:hAnsi="Segoe UI"/>
          <w:b/>
          <w:color w:val="7F7F7F"/>
          <w:sz w:val="22"/>
        </w:rPr>
        <w:t>3. Khóa sổ tháng &amp; Lập Báo cáo Tài chính</w:t>
      </w:r>
    </w:p>
    <w:p>
      <w:pPr>
        <w:pStyle w:val="ListBullet"/>
        <w:spacing w:after="80" w:line="276" w:lineRule="auto"/>
      </w:pPr>
      <w:r>
        <w:rPr>
          <w:rFonts w:ascii="Segoe UI" w:hAnsi="Segoe UI"/>
          <w:color w:val="333333"/>
          <w:sz w:val="21"/>
        </w:rPr>
        <w:t>Kế toán thực hiện các bút toán kết chuyển, khóa sổ kế toán hàng tháng.</w:t>
      </w:r>
    </w:p>
    <w:p>
      <w:pPr>
        <w:pStyle w:val="ListBullet"/>
        <w:spacing w:after="80" w:line="276" w:lineRule="auto"/>
      </w:pPr>
      <w:r>
        <w:rPr>
          <w:rFonts w:ascii="Segoe UI" w:hAnsi="Segoe UI"/>
          <w:color w:val="333333"/>
          <w:sz w:val="21"/>
        </w:rPr>
        <w:t>Lập Báo cáo Tài chính và Báo cáo thuế (theo Thông tư 99/2025/TT-BTC).</w:t>
      </w:r>
    </w:p>
    <w:p>
      <w:pPr>
        <w:pStyle w:val="ListBullet"/>
        <w:spacing w:after="80" w:line="276" w:lineRule="auto"/>
      </w:pPr>
      <w:r>
        <w:rPr>
          <w:rFonts w:ascii="Segoe UI" w:hAnsi="Segoe UI"/>
          <w:color w:val="333333"/>
          <w:sz w:val="21"/>
        </w:rPr>
        <w:t>Lập các báo cáo hóa chất định kỳ gửi Sở Công Thương (doanh thu bán hóa chất, lượng mua vào, sản xuất và tồn kho hóa chất độc hại/nguy hiểm theo quy định).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