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Hạng mục phải lập trình (DEV) trong Blueprint D365BC — 18/09/2026</w:t>
      </w:r>
    </w:p>
    <w:p>
      <w:r>
        <w:rPr>
          <w:i/>
          <w:color w:val="444444"/>
          <w:sz w:val="18"/>
        </w:rPr>
        <w:t>Nguồn: 6 file D365BC_Solution Blueprint (Finance, Manufacturing, Purchase, Quality, Sales, Warehouse) bản v1.0 phát hành 18/09/2026 tại C:\Claw 2\ERP\bluprint ERP\. Người lập: Ngô Đức Minh — 21/09/2026.</w:t>
      </w:r>
    </w:p>
    <w:p>
      <w:pPr>
        <w:pStyle w:val="Heading1"/>
      </w:pPr>
      <w:r>
        <w:t>1. Tổng số hạng mục</w:t>
      </w:r>
    </w:p>
    <w:p>
      <w:pPr>
        <w:pStyle w:val="ListBullet"/>
      </w:pPr>
      <w:r>
        <w:t>Tổng dòng có nhãn DEV trong 6 tài liệu: 102 (sau khi gộp hạng mục trùng tên còn 97 hạng mục riêng biệt).</w:t>
      </w:r>
    </w:p>
    <w:p>
      <w:pPr>
        <w:pStyle w:val="ListBullet"/>
      </w:pPr>
      <w:r>
        <w:t>Trong 97 hạng mục: 37 ghi nhãn thuần “DEV”, 60 ghi nhãn hỗn hợp (CFG/DEV, STD/DEV, WKA/DEV, DEV/EXT) — tức chưa chốt là có phải lập trình hay chỉ cần cấu hình.</w:t>
      </w:r>
    </w:p>
    <w:p>
      <w:pPr>
        <w:pStyle w:val="ListBullet"/>
      </w:pPr>
      <w:r>
        <w:t>Ngoài ra còn 103 dòng ghi nhãn WKA — việc phải làm thủ công/Excel ngoài hệ thống, không phải lập trình nhưng vẫn tốn nhân lực.</w:t>
      </w:r>
    </w:p>
    <w:p>
      <w:pPr>
        <w:pStyle w:val="Heading1"/>
      </w:pPr>
      <w:r>
        <w:t>2. Phân bổ theo bộ phận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</w:rPr>
              <w:t>Bộ phận</w:t>
            </w:r>
          </w:p>
        </w:tc>
        <w:tc>
          <w:tcPr>
            <w:tcW w:type="dxa" w:w="2556"/>
          </w:tcPr>
          <w:p>
            <w:r>
              <w:rPr>
                <w:b/>
              </w:rPr>
              <w:t>Số hạng mục DEV</w:t>
            </w:r>
          </w:p>
        </w:tc>
        <w:tc>
          <w:tcPr>
            <w:tcW w:type="dxa" w:w="2556"/>
          </w:tcPr>
          <w:p>
            <w:r>
              <w:rPr>
                <w:b/>
              </w:rPr>
              <w:t>Ngày công ước tính (thấp – cao)</w:t>
            </w:r>
          </w:p>
        </w:tc>
        <w:tc>
          <w:tcPr>
            <w:tcW w:type="dxa" w:w="2556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556"/>
          </w:tcPr>
          <w:p>
            <w:r>
              <w:t>Kế toán tài chính</w:t>
            </w:r>
          </w:p>
        </w:tc>
        <w:tc>
          <w:tcPr>
            <w:tcW w:type="dxa" w:w="2556"/>
          </w:tcPr>
          <w:p>
            <w:r>
              <w:t>39</w:t>
            </w:r>
          </w:p>
        </w:tc>
        <w:tc>
          <w:tcPr>
            <w:tcW w:type="dxa" w:w="2556"/>
          </w:tcPr>
          <w:p>
            <w:r>
              <w:t>61 – 175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t>Bán hàng</w:t>
            </w:r>
          </w:p>
        </w:tc>
        <w:tc>
          <w:tcPr>
            <w:tcW w:type="dxa" w:w="2556"/>
          </w:tcPr>
          <w:p>
            <w:r>
              <w:t>27</w:t>
            </w:r>
          </w:p>
        </w:tc>
        <w:tc>
          <w:tcPr>
            <w:tcW w:type="dxa" w:w="2556"/>
          </w:tcPr>
          <w:p>
            <w:r>
              <w:t>60 – 172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t>Kho &amp; Tồn kho</w:t>
            </w:r>
          </w:p>
        </w:tc>
        <w:tc>
          <w:tcPr>
            <w:tcW w:type="dxa" w:w="2556"/>
          </w:tcPr>
          <w:p>
            <w:r>
              <w:t>13</w:t>
            </w:r>
          </w:p>
        </w:tc>
        <w:tc>
          <w:tcPr>
            <w:tcW w:type="dxa" w:w="2556"/>
          </w:tcPr>
          <w:p>
            <w:r>
              <w:t>20 – 54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t>Mua hàng – Vật tư</w:t>
            </w:r>
          </w:p>
        </w:tc>
        <w:tc>
          <w:tcPr>
            <w:tcW w:type="dxa" w:w="2556"/>
          </w:tcPr>
          <w:p>
            <w:r>
              <w:t>10</w:t>
            </w:r>
          </w:p>
        </w:tc>
        <w:tc>
          <w:tcPr>
            <w:tcW w:type="dxa" w:w="2556"/>
          </w:tcPr>
          <w:p>
            <w:r>
              <w:t>15 – 36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t>Sản xuất</w:t>
            </w:r>
          </w:p>
        </w:tc>
        <w:tc>
          <w:tcPr>
            <w:tcW w:type="dxa" w:w="2556"/>
          </w:tcPr>
          <w:p>
            <w:r>
              <w:t>5</w:t>
            </w:r>
          </w:p>
        </w:tc>
        <w:tc>
          <w:tcPr>
            <w:tcW w:type="dxa" w:w="2556"/>
          </w:tcPr>
          <w:p>
            <w:r>
              <w:t>7 – 18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t>Quản lý chất lượng</w:t>
            </w:r>
          </w:p>
        </w:tc>
        <w:tc>
          <w:tcPr>
            <w:tcW w:type="dxa" w:w="2556"/>
          </w:tcPr>
          <w:p>
            <w:r>
              <w:t>3</w:t>
            </w:r>
          </w:p>
        </w:tc>
        <w:tc>
          <w:tcPr>
            <w:tcW w:type="dxa" w:w="2556"/>
          </w:tcPr>
          <w:p>
            <w:r>
              <w:t>7 – 21</w:t>
            </w:r>
          </w:p>
        </w:tc>
        <w:tc>
          <w:tcPr>
            <w:tcW w:type="dxa" w:w="2556"/>
          </w:tcPr>
          <w:p>
            <w:r>
              <w:t>Chủ yếu: Báo cáo / chứng từ in theo mẫu</w:t>
            </w:r>
          </w:p>
        </w:tc>
      </w:tr>
      <w:tr>
        <w:tc>
          <w:tcPr>
            <w:tcW w:type="dxa" w:w="2556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2556"/>
          </w:tcPr>
          <w:p>
            <w:r>
              <w:rPr>
                <w:b/>
              </w:rPr>
              <w:t>97</w:t>
            </w:r>
          </w:p>
        </w:tc>
        <w:tc>
          <w:tcPr>
            <w:tcW w:type="dxa" w:w="2556"/>
          </w:tcPr>
          <w:p>
            <w:r>
              <w:rPr>
                <w:b/>
              </w:rPr>
              <w:t>170 – 476</w:t>
            </w:r>
          </w:p>
        </w:tc>
        <w:tc>
          <w:tcPr>
            <w:tcW w:type="dxa" w:w="2556"/>
          </w:tcPr>
          <w:p/>
        </w:tc>
      </w:tr>
    </w:tbl>
    <w:p>
      <w:pPr>
        <w:pStyle w:val="Heading1"/>
      </w:pPr>
      <w:r>
        <w:t>3. Danh sách hạng mục theo bộ phận</w:t>
      </w:r>
    </w:p>
    <w:p>
      <w:pPr>
        <w:pStyle w:val="Heading2"/>
      </w:pPr>
      <w:r>
        <w:t>Kế toán tài chính — 39 hạng mục</w:t>
      </w:r>
    </w:p>
    <w:p>
      <w:pPr>
        <w:pStyle w:val="ListBullet"/>
      </w:pPr>
      <w:r>
        <w:rPr>
          <w:b/>
        </w:rPr>
        <w:t>Phiếu kế toán</w:t>
      </w:r>
      <w:r>
        <w:rPr>
          <w:sz w:val="16"/>
        </w:rPr>
        <w:t xml:space="preserve">  [DEV]</w:t>
      </w:r>
      <w:r>
        <w:rPr>
          <w:sz w:val="17"/>
        </w:rPr>
        <w:t xml:space="preserve"> — Phiếu kế toán | G/L Register → Print | DEV | Mẫu theo biểu mẫu hiện hành của BTChem (câu 245)</w:t>
      </w:r>
    </w:p>
    <w:p>
      <w:pPr>
        <w:pStyle w:val="ListBullet"/>
      </w:pPr>
      <w:r>
        <w:rPr>
          <w:b/>
        </w:rPr>
        <w:t>Sổ nhật ký chung</w:t>
      </w:r>
      <w:r>
        <w:rPr>
          <w:sz w:val="16"/>
        </w:rPr>
        <w:t xml:space="preserve">  [CFG/DEV]</w:t>
      </w:r>
      <w:r>
        <w:rPr>
          <w:sz w:val="17"/>
        </w:rPr>
        <w:t xml:space="preserve"> — Sổ nhật ký chung | Detail Trial Balance / G/L Register | CFG/DEV | Kiểm tra bộ VAS localization trước khi kết luận phải phát triển</w:t>
      </w:r>
    </w:p>
    <w:p>
      <w:pPr>
        <w:pStyle w:val="ListBullet"/>
      </w:pPr>
      <w:r>
        <w:rPr>
          <w:b/>
        </w:rPr>
        <w:t>Sổ cái tài khoản</w:t>
      </w:r>
      <w:r>
        <w:rPr>
          <w:sz w:val="16"/>
        </w:rPr>
        <w:t xml:space="preserve">  [CFG/DEV]</w:t>
      </w:r>
      <w:r>
        <w:rPr>
          <w:sz w:val="17"/>
        </w:rPr>
        <w:t xml:space="preserve"> — Sổ cái tài khoản | Trial Balance · G/L Entries theo tài khoản | CFG/DEV | Nằm trong danh sách báo cáo bắt buộc giai đoạn 1 (câu 243)</w:t>
      </w:r>
    </w:p>
    <w:p>
      <w:pPr>
        <w:pStyle w:val="ListBullet"/>
      </w:pPr>
      <w:r>
        <w:rPr>
          <w:b/>
        </w:rPr>
        <w:t>Sổ chi tiết tài khoản</w:t>
      </w:r>
      <w:r>
        <w:rPr>
          <w:sz w:val="16"/>
        </w:rPr>
        <w:t xml:space="preserve">  [CFG/DEV]</w:t>
      </w:r>
      <w:r>
        <w:rPr>
          <w:sz w:val="17"/>
        </w:rPr>
        <w:t xml:space="preserve"> — Sổ chi tiết tài khoản | Detail Trial Balance với bộ lọc chiều | CFG/DEV | Nằm trong danh sách báo cáo bắt buộc giai đoạn 1</w:t>
      </w:r>
    </w:p>
    <w:p>
      <w:pPr>
        <w:pStyle w:val="ListBullet"/>
      </w:pPr>
      <w:r>
        <w:rPr>
          <w:b/>
        </w:rPr>
        <w:t>Phiếu thu</w:t>
      </w:r>
      <w:r>
        <w:rPr>
          <w:sz w:val="16"/>
        </w:rPr>
        <w:t xml:space="preserve">  [DEV]</w:t>
      </w:r>
      <w:r>
        <w:rPr>
          <w:sz w:val="17"/>
        </w:rPr>
        <w:t xml:space="preserve"> — Phiếu thu | Report tuỳ chỉnh trên Cash Receipt Journal | DEV | Theo mẫu hiện hành của BTChem (câu 245). Cần có số tiền bằng chữ</w:t>
      </w:r>
    </w:p>
    <w:p>
      <w:pPr>
        <w:pStyle w:val="ListBullet"/>
      </w:pPr>
      <w:r>
        <w:rPr>
          <w:b/>
        </w:rPr>
        <w:t>Phiếu chi</w:t>
      </w:r>
      <w:r>
        <w:rPr>
          <w:sz w:val="16"/>
        </w:rPr>
        <w:t xml:space="preserve">  [DEV]</w:t>
      </w:r>
      <w:r>
        <w:rPr>
          <w:sz w:val="17"/>
        </w:rPr>
        <w:t xml:space="preserve"> — Phiếu chi | Report tuỳ chỉnh trên Payment Journal | DEV | Theo mẫu hiện hành (câu 245). Cần ô ký của BGĐ, kế toán, thủ quỹ, người nhận</w:t>
      </w:r>
    </w:p>
    <w:p>
      <w:pPr>
        <w:pStyle w:val="ListBullet"/>
      </w:pPr>
      <w:r>
        <w:rPr>
          <w:b/>
        </w:rPr>
        <w:t>Giấy đề nghị tạm ứng / Giấy thanh toán tạm ứng</w:t>
      </w:r>
      <w:r>
        <w:rPr>
          <w:sz w:val="16"/>
        </w:rPr>
        <w:t xml:space="preserve">  [DEV]</w:t>
      </w:r>
      <w:r>
        <w:rPr>
          <w:sz w:val="17"/>
        </w:rPr>
        <w:t xml:space="preserve"> — Giấy đề nghị tạm ứng / Giấy thanh toán tạm ứng | Report tuỳ chỉnh | DEV | Theo mẫu hiện hành (câu 245)</w:t>
      </w:r>
    </w:p>
    <w:p>
      <w:pPr>
        <w:pStyle w:val="ListBullet"/>
      </w:pPr>
      <w:r>
        <w:rPr>
          <w:b/>
        </w:rPr>
        <w:t>Sổ quỹ tiền mặt</w:t>
      </w:r>
      <w:r>
        <w:rPr>
          <w:sz w:val="16"/>
        </w:rPr>
        <w:t xml:space="preserve">  [CFG/DEV]</w:t>
      </w:r>
      <w:r>
        <w:rPr>
          <w:sz w:val="17"/>
        </w:rPr>
        <w:t xml:space="preserve"> — Sổ quỹ tiền mặt | Bank Account Ledger Entries lọc theo CASH | CFG/DEV | Kiểm tra bộ VAS localization trước</w:t>
      </w:r>
    </w:p>
    <w:p>
      <w:pPr>
        <w:pStyle w:val="ListBullet"/>
      </w:pPr>
      <w:r>
        <w:rPr>
          <w:b/>
        </w:rPr>
        <w:t>Uỷ nhiệm chi</w:t>
      </w:r>
      <w:r>
        <w:rPr>
          <w:sz w:val="16"/>
        </w:rPr>
        <w:t xml:space="preserve">  [DEV]</w:t>
      </w:r>
      <w:r>
        <w:rPr>
          <w:sz w:val="17"/>
        </w:rPr>
        <w:t xml:space="preserve"> — Uỷ nhiệm chi | Report tuỳ chỉnh trên Payment Journal | DEV | Theo mẫu ngân hàng hoặc mẫu BTChem</w:t>
      </w:r>
    </w:p>
    <w:p>
      <w:pPr>
        <w:pStyle w:val="ListBullet"/>
      </w:pPr>
      <w:r>
        <w:rPr>
          <w:b/>
        </w:rPr>
        <w:t>Chứng từ báo nợ / báo có</w:t>
      </w:r>
      <w:r>
        <w:rPr>
          <w:sz w:val="16"/>
        </w:rPr>
        <w:t xml:space="preserve">  [DEV]</w:t>
      </w:r>
      <w:r>
        <w:rPr>
          <w:sz w:val="17"/>
        </w:rPr>
        <w:t xml:space="preserve"> — Chứng từ báo nợ / báo có | Report tuỳ chỉnh | DEV | Theo mẫu hiện hành</w:t>
      </w:r>
    </w:p>
    <w:p>
      <w:pPr>
        <w:pStyle w:val="ListBullet"/>
      </w:pPr>
      <w:r>
        <w:rPr>
          <w:b/>
        </w:rPr>
        <w:t>Sổ tiền gửi ngân hàng</w:t>
      </w:r>
      <w:r>
        <w:rPr>
          <w:sz w:val="16"/>
        </w:rPr>
        <w:t xml:space="preserve">  [CFG/DEV]</w:t>
      </w:r>
      <w:r>
        <w:rPr>
          <w:sz w:val="17"/>
        </w:rPr>
        <w:t xml:space="preserve"> — Sổ tiền gửi ngân hàng | Bank Account Ledger Entries theo tài khoản | CFG/DEV | Kiểm tra bộ VAS localization trước</w:t>
      </w:r>
    </w:p>
    <w:p>
      <w:pPr>
        <w:pStyle w:val="ListBullet"/>
      </w:pPr>
      <w:r>
        <w:rPr>
          <w:b/>
        </w:rPr>
        <w:t>Bảng đối chiếu ngân hàng</w:t>
      </w:r>
      <w:r>
        <w:rPr>
          <w:sz w:val="16"/>
        </w:rPr>
        <w:t xml:space="preserve">  [STD/DEV]</w:t>
      </w:r>
      <w:r>
        <w:rPr>
          <w:sz w:val="17"/>
        </w:rPr>
        <w:t xml:space="preserve"> — Bảng đối chiếu ngân hàng | Posted Bank Reconciliations → Print | STD/DEV | Mẫu chuẩn của BC có thể đủ dùng; nếu cần mẫu Việt Nam thì DEV</w:t>
      </w:r>
    </w:p>
    <w:p>
      <w:pPr>
        <w:pStyle w:val="ListBullet"/>
      </w:pPr>
      <w:r>
        <w:rPr>
          <w:b/>
        </w:rPr>
        <w:t>BR-05</w:t>
      </w:r>
      <w:r>
        <w:rPr>
          <w:sz w:val="16"/>
        </w:rPr>
        <w:t xml:space="preserve">  [DEV]</w:t>
      </w:r>
      <w:r>
        <w:rPr>
          <w:sz w:val="17"/>
        </w:rPr>
        <w:t xml:space="preserve"> — BR-05 | Số ngày quá hạn cho phép khác nhau theo khách hàng (15 hoặc 30 ngày) | BC không có sẵn. Cần trường bổ sung trên Customer Card và kiểm tra khi Release đơn hàng – hạng mục DEV | DEV</w:t>
      </w:r>
    </w:p>
    <w:p>
      <w:pPr>
        <w:pStyle w:val="ListBullet"/>
      </w:pPr>
      <w:r>
        <w:rPr>
          <w:b/>
        </w:rPr>
        <w:t>BR-08</w:t>
      </w:r>
      <w:r>
        <w:rPr>
          <w:sz w:val="16"/>
        </w:rPr>
        <w:t xml:space="preserve">  [WKA/DEV]</w:t>
      </w:r>
      <w:r>
        <w:rPr>
          <w:sz w:val="17"/>
        </w:rPr>
        <w:t xml:space="preserve"> — BR-08 | Nhắc trước hạn thanh toán | BC không có sẵn. : lọc Due Date và gửi email tay. | WKA/DEV</w:t>
      </w:r>
    </w:p>
    <w:p>
      <w:pPr>
        <w:pStyle w:val="ListBullet"/>
      </w:pPr>
      <w:r>
        <w:rPr>
          <w:b/>
        </w:rPr>
        <w:t>Thư nhắc nợ</w:t>
      </w:r>
      <w:r>
        <w:rPr>
          <w:sz w:val="16"/>
        </w:rPr>
        <w:t xml:space="preserve">  [CFG/DEV]</w:t>
      </w:r>
      <w:r>
        <w:rPr>
          <w:sz w:val="17"/>
        </w:rPr>
        <w:t xml:space="preserve"> — Thư nhắc nợ | Issued Reminders | CFG/DEV | Nội dung thư khai ở Reminder Level; nếu cần mẫu tiếng Việt riêng thì DEV</w:t>
      </w:r>
    </w:p>
    <w:p>
      <w:pPr>
        <w:pStyle w:val="ListBullet"/>
      </w:pPr>
      <w:r>
        <w:rPr>
          <w:b/>
        </w:rPr>
        <w:t>Bảng kê công nợ gửi khách hàng</w:t>
      </w:r>
      <w:r>
        <w:rPr>
          <w:sz w:val="16"/>
        </w:rPr>
        <w:t xml:space="preserve">  [CFG/DEV]</w:t>
      </w:r>
      <w:r>
        <w:rPr>
          <w:sz w:val="17"/>
        </w:rPr>
        <w:t xml:space="preserve"> — Bảng kê công nợ gửi khách hàng | Customer – Statement | CFG/DEV | Dùng cho đối chiếu công nợ hằng tháng (câu 225)</w:t>
      </w:r>
    </w:p>
    <w:p>
      <w:pPr>
        <w:pStyle w:val="ListBullet"/>
      </w:pPr>
      <w:r>
        <w:rPr>
          <w:b/>
        </w:rPr>
        <w:t>Biên bản đối chiếu công nợ</w:t>
      </w:r>
      <w:r>
        <w:rPr>
          <w:sz w:val="16"/>
        </w:rPr>
        <w:t xml:space="preserve">  [WKA/DEV]</w:t>
      </w:r>
      <w:r>
        <w:rPr>
          <w:sz w:val="17"/>
        </w:rPr>
        <w:t xml:space="preserve"> — Biên bản đối chiếu công nợ | (ngoài BC hoặc DEV từ Statement) | WKA/DEV | Cần có ô ký của hai bên</w:t>
      </w:r>
    </w:p>
    <w:p>
      <w:pPr>
        <w:pStyle w:val="ListBullet"/>
      </w:pPr>
      <w:r>
        <w:rPr>
          <w:b/>
        </w:rPr>
        <w:t>Kế hoạch thanh toán tuần</w:t>
      </w:r>
      <w:r>
        <w:rPr>
          <w:sz w:val="16"/>
        </w:rPr>
        <w:t xml:space="preserve">  [STD/DEV]</w:t>
      </w:r>
      <w:r>
        <w:rPr>
          <w:sz w:val="17"/>
        </w:rPr>
        <w:t xml:space="preserve"> — Kế hoạch thanh toán tuần | Payment Journal sau khi Suggest Vendor Payments | STD/DEV | Có thể in trực tiếp hoặc xuất Excel; nếu cần mẫu riêng thì DEV</w:t>
      </w:r>
    </w:p>
    <w:p>
      <w:pPr>
        <w:pStyle w:val="ListBullet"/>
      </w:pPr>
      <w:r>
        <w:rPr>
          <w:b/>
        </w:rPr>
        <w:t>Biên bản đối chiếu công nợ NCC</w:t>
      </w:r>
      <w:r>
        <w:rPr>
          <w:sz w:val="16"/>
        </w:rPr>
        <w:t xml:space="preserve">  [WKA/DEV]</w:t>
      </w:r>
      <w:r>
        <w:rPr>
          <w:sz w:val="17"/>
        </w:rPr>
        <w:t xml:space="preserve"> — Biên bản đối chiếu công nợ NCC | (ngoài BC hoặc DEV) | WKA/DEV | Cần có ô ký hai bên</w:t>
      </w:r>
    </w:p>
    <w:p>
      <w:pPr>
        <w:pStyle w:val="ListBullet"/>
      </w:pPr>
      <w:r>
        <w:rPr>
          <w:b/>
        </w:rPr>
        <w:t>Bảng kê chênh lệch tỷ giá cuối kỳ</w:t>
      </w:r>
      <w:r>
        <w:rPr>
          <w:sz w:val="16"/>
        </w:rPr>
        <w:t xml:space="preserve">  [STD/DEV]</w:t>
      </w:r>
      <w:r>
        <w:rPr>
          <w:sz w:val="17"/>
        </w:rPr>
        <w:t xml:space="preserve"> — Bảng kê chênh lệch tỷ giá cuối kỳ | G/L Register sau khi chạy Adjust Exchange Rates | STD/DEV | Nếu cần mẫu Việt Nam thì DEV</w:t>
      </w:r>
    </w:p>
    <w:p>
      <w:pPr>
        <w:pStyle w:val="ListBullet"/>
      </w:pPr>
      <w:r>
        <w:rPr>
          <w:b/>
        </w:rPr>
        <w:t>Biên bản giao nhận TSCĐ</w:t>
      </w:r>
      <w:r>
        <w:rPr>
          <w:sz w:val="16"/>
        </w:rPr>
        <w:t xml:space="preserve">  [DEV]</w:t>
      </w:r>
      <w:r>
        <w:rPr>
          <w:sz w:val="17"/>
        </w:rPr>
        <w:t xml:space="preserve"> — Biên bản giao nhận TSCĐ | Report tuỳ chỉnh trên Fixed Asset Card | DEV | Theo mẫu hiện hành (câu 245); cần ô ký của bên giao, bên nhận</w:t>
      </w:r>
    </w:p>
    <w:p>
      <w:pPr>
        <w:pStyle w:val="ListBullet"/>
      </w:pPr>
      <w:r>
        <w:rPr>
          <w:b/>
        </w:rPr>
        <w:t>Biên bản thanh lý TSCĐ</w:t>
      </w:r>
      <w:r>
        <w:rPr>
          <w:sz w:val="16"/>
        </w:rPr>
        <w:t xml:space="preserve">  [DEV]</w:t>
      </w:r>
      <w:r>
        <w:rPr>
          <w:sz w:val="17"/>
        </w:rPr>
        <w:t xml:space="preserve"> — Biên bản thanh lý TSCĐ | Report tuỳ chỉnh | DEV | Theo mẫu hiện hành (câu 245); kèm quyết định thanh lý</w:t>
      </w:r>
    </w:p>
    <w:p>
      <w:pPr>
        <w:pStyle w:val="ListBullet"/>
      </w:pPr>
      <w:r>
        <w:rPr>
          <w:b/>
        </w:rPr>
        <w:t>Bảng tính khấu hao TSCĐ</w:t>
      </w:r>
      <w:r>
        <w:rPr>
          <w:sz w:val="16"/>
        </w:rPr>
        <w:t xml:space="preserve">  [STD/DEV]</w:t>
      </w:r>
      <w:r>
        <w:rPr>
          <w:sz w:val="17"/>
        </w:rPr>
        <w:t xml:space="preserve"> — Bảng tính khấu hao TSCĐ | FA G/L Journal sau Calculate Depreciation · Fixed Asset – Book Value | STD/DEV | Bắt buộc giai đoạn 1 (câu 243); nếu cần mẫu Việt Nam thì DEV</w:t>
      </w:r>
    </w:p>
    <w:p>
      <w:pPr>
        <w:pStyle w:val="ListBullet"/>
      </w:pPr>
      <w:r>
        <w:rPr>
          <w:b/>
        </w:rPr>
        <w:t>Thẻ tài sản cố định</w:t>
      </w:r>
      <w:r>
        <w:rPr>
          <w:sz w:val="16"/>
        </w:rPr>
        <w:t xml:space="preserve">  [DEV]</w:t>
      </w:r>
      <w:r>
        <w:rPr>
          <w:sz w:val="17"/>
        </w:rPr>
        <w:t xml:space="preserve"> — Thẻ tài sản cố định | Fixed Asset Card → Print | DEV | Theo mẫu Việt Nam</w:t>
      </w:r>
    </w:p>
    <w:p>
      <w:pPr>
        <w:pStyle w:val="ListBullet"/>
      </w:pPr>
      <w:r>
        <w:rPr>
          <w:b/>
        </w:rPr>
        <w:t>Bảng theo dõi CCDC và giá trị còn lại</w:t>
      </w:r>
      <w:r>
        <w:rPr>
          <w:sz w:val="16"/>
        </w:rPr>
        <w:t xml:space="preserve">  [STD/DEV]</w:t>
      </w:r>
      <w:r>
        <w:rPr>
          <w:sz w:val="17"/>
        </w:rPr>
        <w:t xml:space="preserve"> — Bảng theo dõi CCDC và giá trị còn lại | FA Depreciation Book – Book Value hoặc Deferral Summary | STD/DEV | Nếu cần mẫu Việt Nam thì DEV</w:t>
      </w:r>
    </w:p>
    <w:p>
      <w:pPr>
        <w:pStyle w:val="ListBullet"/>
      </w:pPr>
      <w:r>
        <w:rPr>
          <w:b/>
        </w:rPr>
        <w:t>Biên bản bàn giao CCDC</w:t>
      </w:r>
      <w:r>
        <w:rPr>
          <w:sz w:val="16"/>
        </w:rPr>
        <w:t xml:space="preserve">  [WKA/DEV]</w:t>
      </w:r>
      <w:r>
        <w:rPr>
          <w:sz w:val="17"/>
        </w:rPr>
        <w:t xml:space="preserve"> — Biên bản bàn giao CCDC | (ngoài BC hoặc Report tuỳ chỉnh) | WKA/DEV | Xác định người giữ và bộ phận sử dụng</w:t>
      </w:r>
    </w:p>
    <w:p>
      <w:pPr>
        <w:pStyle w:val="ListBullet"/>
      </w:pPr>
      <w:r>
        <w:rPr>
          <w:b/>
        </w:rPr>
        <w:t>BR-04</w:t>
      </w:r>
      <w:r>
        <w:rPr>
          <w:sz w:val="16"/>
        </w:rPr>
        <w:t xml:space="preserve">  [DEV]</w:t>
      </w:r>
      <w:r>
        <w:rPr>
          <w:sz w:val="17"/>
        </w:rPr>
        <w:t xml:space="preserve"> — BR-04 | Mọi hoá đơn bán phải được phát hành hoá đơn điện tử và lưu số hoá đơn ngược lại BC | Tích hợp API; trường bổ sung trên Posted Sales Invoice | DEV</w:t>
      </w:r>
    </w:p>
    <w:p>
      <w:pPr>
        <w:pStyle w:val="ListBullet"/>
      </w:pPr>
      <w:r>
        <w:rPr>
          <w:b/>
        </w:rPr>
        <w:t>Hoá đơn bán hàng (hoá đơn điện tử)</w:t>
      </w:r>
      <w:r>
        <w:rPr>
          <w:sz w:val="16"/>
        </w:rPr>
        <w:t xml:space="preserve">  [DEV/EXT]</w:t>
      </w:r>
      <w:r>
        <w:rPr>
          <w:sz w:val="17"/>
        </w:rPr>
        <w:t xml:space="preserve"> — Hoá đơn bán hàng (hoá đơn điện tử) | Hệ thống hoá đơn điện tử qua tích hợp | DEV/EXT | Số hoá đơn do hệ thống hoá đơn cấp; lưu ngược vào BC</w:t>
      </w:r>
    </w:p>
    <w:p>
      <w:pPr>
        <w:pStyle w:val="ListBullet"/>
      </w:pPr>
      <w:r>
        <w:rPr>
          <w:b/>
        </w:rPr>
        <w:t>Bảng kê thuế GTGT đầu ra</w:t>
      </w:r>
      <w:r>
        <w:rPr>
          <w:sz w:val="16"/>
        </w:rPr>
        <w:t xml:space="preserve">  [STD/DEV]</w:t>
      </w:r>
      <w:r>
        <w:rPr>
          <w:sz w:val="17"/>
        </w:rPr>
        <w:t xml:space="preserve"> — Bảng kê thuế GTGT đầu ra | VAT Entries lọc Type = Sale | STD/DEV | Bắt buộc giai đoạn 1 (câu 243)</w:t>
      </w:r>
    </w:p>
    <w:p>
      <w:pPr>
        <w:pStyle w:val="ListBullet"/>
      </w:pPr>
      <w:r>
        <w:rPr>
          <w:b/>
        </w:rPr>
        <w:t>Bảng kê thuế GTGT đầu vào</w:t>
      </w:r>
      <w:r>
        <w:rPr>
          <w:sz w:val="16"/>
        </w:rPr>
        <w:t xml:space="preserve">  [STD/DEV]</w:t>
      </w:r>
      <w:r>
        <w:rPr>
          <w:sz w:val="17"/>
        </w:rPr>
        <w:t xml:space="preserve"> — Bảng kê thuế GTGT đầu vào | VAT Entries lọc Type = Purchase | STD/DEV | Bắt buộc giai đoạn 1 (câu 243)</w:t>
      </w:r>
    </w:p>
    <w:p>
      <w:pPr>
        <w:pStyle w:val="ListBullet"/>
      </w:pPr>
      <w:r>
        <w:rPr>
          <w:b/>
        </w:rPr>
        <w:t>Tờ khai thuế GTGT</w:t>
      </w:r>
      <w:r>
        <w:rPr>
          <w:sz w:val="16"/>
        </w:rPr>
        <w:t xml:space="preserve">  [CFG/DEV]</w:t>
      </w:r>
      <w:r>
        <w:rPr>
          <w:sz w:val="17"/>
        </w:rPr>
        <w:t xml:space="preserve"> — Tờ khai thuế GTGT | VAT Statement | CFG/DEV | Kiểm tra bộ VAS localization trước</w:t>
      </w:r>
    </w:p>
    <w:p>
      <w:pPr>
        <w:pStyle w:val="ListBullet"/>
      </w:pPr>
      <w:r>
        <w:rPr>
          <w:b/>
        </w:rPr>
        <w:t>Báo cáo nhập – xuất – tồn kho</w:t>
      </w:r>
      <w:r>
        <w:rPr>
          <w:sz w:val="16"/>
        </w:rPr>
        <w:t xml:space="preserve">  [STD/DEV]</w:t>
      </w:r>
      <w:r>
        <w:rPr>
          <w:sz w:val="17"/>
        </w:rPr>
        <w:t xml:space="preserve"> — Báo cáo nhập – xuất – tồn kho | Inventory Valuation · Item Ledger Entries | STD/DEV | Bắt buộc giai đoạn 1 ; nếu cần mẫu Việt Nam thì DEV</w:t>
      </w:r>
    </w:p>
    <w:p>
      <w:pPr>
        <w:pStyle w:val="ListBullet"/>
      </w:pPr>
      <w:r>
        <w:rPr>
          <w:b/>
        </w:rPr>
        <w:t>Bảng tính giá thành sản phẩm</w:t>
      </w:r>
      <w:r>
        <w:rPr>
          <w:sz w:val="16"/>
        </w:rPr>
        <w:t xml:space="preserve">  [STD/DEV]</w:t>
      </w:r>
      <w:r>
        <w:rPr>
          <w:sz w:val="17"/>
        </w:rPr>
        <w:t xml:space="preserve"> — Bảng tính giá thành sản phẩm | Production Order Statistics · Cost Shares Breakdown | STD/DEV | Báo cáo quản trị</w:t>
      </w:r>
    </w:p>
    <w:p>
      <w:pPr>
        <w:pStyle w:val="ListBullet"/>
      </w:pPr>
      <w:r>
        <w:rPr>
          <w:b/>
        </w:rPr>
        <w:t>Bảng cân đối kế toán</w:t>
      </w:r>
      <w:r>
        <w:rPr>
          <w:sz w:val="16"/>
        </w:rPr>
        <w:t xml:space="preserve">  [CFG/DEV]</w:t>
      </w:r>
      <w:r>
        <w:rPr>
          <w:sz w:val="17"/>
        </w:rPr>
        <w:t xml:space="preserve"> — Bảng cân đối kế toán | Financial Reports (Row Definition theo Account Category) | CFG/DEV | Bắt buộc theo VAS (câu 242, 243)</w:t>
      </w:r>
    </w:p>
    <w:p>
      <w:pPr>
        <w:pStyle w:val="ListBullet"/>
      </w:pPr>
      <w:r>
        <w:rPr>
          <w:b/>
        </w:rPr>
        <w:t>Báo cáo kết quả hoạt động kinh doanh</w:t>
      </w:r>
      <w:r>
        <w:rPr>
          <w:sz w:val="16"/>
        </w:rPr>
        <w:t xml:space="preserve">  [CFG/DEV]</w:t>
      </w:r>
      <w:r>
        <w:rPr>
          <w:sz w:val="17"/>
        </w:rPr>
        <w:t xml:space="preserve"> — Báo cáo kết quả hoạt động kinh doanh | Financial Reports | CFG/DEV | Bắt buộc theo VAS</w:t>
      </w:r>
    </w:p>
    <w:p>
      <w:pPr>
        <w:pStyle w:val="ListBullet"/>
      </w:pPr>
      <w:r>
        <w:rPr>
          <w:b/>
        </w:rPr>
        <w:t>Báo cáo lưu chuyển tiền tệ</w:t>
      </w:r>
      <w:r>
        <w:rPr>
          <w:sz w:val="16"/>
        </w:rPr>
        <w:t xml:space="preserve">  [CFG/DEV]</w:t>
      </w:r>
      <w:r>
        <w:rPr>
          <w:sz w:val="17"/>
        </w:rPr>
        <w:t xml:space="preserve"> — Báo cáo lưu chuyển tiền tệ | Financial Reports · Cash Flow | CFG/DEV | Bắt buộc theo VAS; phương pháp trực tiếp hay gián tiếp cần chốt</w:t>
      </w:r>
    </w:p>
    <w:p>
      <w:pPr>
        <w:pStyle w:val="ListBullet"/>
      </w:pPr>
      <w:r>
        <w:rPr>
          <w:b/>
        </w:rPr>
        <w:t>Nhật ký chung</w:t>
      </w:r>
      <w:r>
        <w:rPr>
          <w:sz w:val="16"/>
        </w:rPr>
        <w:t xml:space="preserve">  [CFG/DEV]</w:t>
      </w:r>
      <w:r>
        <w:rPr>
          <w:sz w:val="17"/>
        </w:rPr>
        <w:t xml:space="preserve"> — Nhật ký chung | G/L Register · Detail Trial Balance | CFG/DEV | Bắt buộc giai đoạn 1</w:t>
      </w:r>
    </w:p>
    <w:p>
      <w:pPr>
        <w:pStyle w:val="ListBullet"/>
      </w:pPr>
      <w:r>
        <w:rPr>
          <w:b/>
        </w:rPr>
        <w:t>Báo cáo Sở Công Thương – mua hàng, bán hàng, sử dụng, sản xuất, XNK</w:t>
      </w:r>
      <w:r>
        <w:rPr>
          <w:sz w:val="16"/>
        </w:rPr>
        <w:t xml:space="preserve">  [DEV]</w:t>
      </w:r>
      <w:r>
        <w:rPr>
          <w:sz w:val="17"/>
        </w:rPr>
        <w:t xml:space="preserve"> — Báo cáo Sở Công Thương – mua hàng, bán hàng, sử dụng, sản xuất, XNK | (chưa có trên BC) | DEV | Đặc thù ngành hoá chất – cần biểu mẫu chính thức (câu 243)</w:t>
      </w:r>
    </w:p>
    <w:p>
      <w:pPr>
        <w:pStyle w:val="ListBullet"/>
      </w:pPr>
      <w:r>
        <w:rPr>
          <w:b/>
        </w:rPr>
        <w:t>Sổ theo dõi hoá chất sử dụng / hoá chất bán hàng</w:t>
      </w:r>
      <w:r>
        <w:rPr>
          <w:sz w:val="16"/>
        </w:rPr>
        <w:t xml:space="preserve">  [DEV]</w:t>
      </w:r>
      <w:r>
        <w:rPr>
          <w:sz w:val="17"/>
        </w:rPr>
        <w:t xml:space="preserve"> — Sổ theo dõi hoá chất sử dụng / hoá chất bán hàng | (chưa có trên BC) | DEV | Đặc thù ngành hoá chất – cần biểu mẫu chính thức (câu 243)</w:t>
      </w:r>
    </w:p>
    <w:p>
      <w:pPr>
        <w:pStyle w:val="Heading2"/>
      </w:pPr>
      <w:r>
        <w:t>Bán hàng — 27 hạng mục</w:t>
      </w:r>
    </w:p>
    <w:p>
      <w:pPr>
        <w:pStyle w:val="ListBullet"/>
      </w:pPr>
      <w:r>
        <w:rPr>
          <w:b/>
        </w:rPr>
        <w:t>BR-01-02</w:t>
      </w:r>
      <w:r>
        <w:rPr>
          <w:sz w:val="16"/>
        </w:rPr>
        <w:t xml:space="preserve">  [CFG/DEV]</w:t>
      </w:r>
      <w:r>
        <w:rPr>
          <w:sz w:val="17"/>
        </w:rPr>
        <w:t xml:space="preserve"> — BR-01-02 | Mã số thuế là bắt buộc và không được trùng | Đặt VAT Registration No. là trường bắt buộc + bật cảnh báo trùng của BC. Nếu cần chặn tuyệt đối → hạng mục DEV nhỏ. | CFG/DEV</w:t>
      </w:r>
    </w:p>
    <w:p>
      <w:pPr>
        <w:pStyle w:val="ListBullet"/>
      </w:pPr>
      <w:r>
        <w:rPr>
          <w:b/>
        </w:rPr>
        <w:t>BR-02-05</w:t>
      </w:r>
      <w:r>
        <w:rPr>
          <w:sz w:val="16"/>
        </w:rPr>
        <w:t xml:space="preserve">  [CFG/DEV]</w:t>
      </w:r>
      <w:r>
        <w:rPr>
          <w:sz w:val="17"/>
        </w:rPr>
        <w:t xml:space="preserve"> — BR-02-05 | Không được sửa giá tay trên đơn hàng vượt quá ngưỡng cho phép | BC không có chức năng chuẩn chặn theo ngưỡng %. Phương án: (a) bỏ quyền sửa Unit Price của NVKD, chỉ TP.KD sửa được; hoặc (b) DEV kiểm tra ngưỡng khi Release đơn. | CFG/DEV</w:t>
      </w:r>
    </w:p>
    <w:p>
      <w:pPr>
        <w:pStyle w:val="ListBullet"/>
      </w:pPr>
      <w:r>
        <w:rPr>
          <w:b/>
        </w:rPr>
        <w:t>BR-03-02</w:t>
      </w:r>
      <w:r>
        <w:rPr>
          <w:sz w:val="16"/>
        </w:rPr>
        <w:t xml:space="preserve">  [DEV (mẫu in)]</w:t>
      </w:r>
      <w:r>
        <w:rPr>
          <w:sz w:val="17"/>
        </w:rPr>
        <w:t xml:space="preserve"> — BR-03-02 | Báo giá phải thể hiện: tên mặt hàng, ĐVT, quy cách đóng gói, giá, thuế GTGT, phí vận chuyển (nếu có), ghi chú | Thiết kế mẫu in Sales Quote; quy cách lấy từ Item Card | DEV (mẫu in)</w:t>
      </w:r>
    </w:p>
    <w:p>
      <w:pPr>
        <w:pStyle w:val="ListBullet"/>
      </w:pPr>
      <w:r>
        <w:rPr>
          <w:b/>
        </w:rPr>
        <w:t>Mẫu báo giá BTChem</w:t>
      </w:r>
      <w:r>
        <w:rPr>
          <w:sz w:val="16"/>
        </w:rPr>
        <w:t xml:space="preserve">  [DEV]</w:t>
      </w:r>
      <w:r>
        <w:rPr>
          <w:sz w:val="17"/>
        </w:rPr>
        <w:t xml:space="preserve"> — Mẫu báo giá BTChem | Report: Sales Quote + Custom Word Layout | DEV | Cần thiết kế theo nhận diện thương hiệu BTChem: logo, thông tin công ty, cột giá cũ/giá mới, quy cách, thuế GTGT, phí vận chuyển, điều khoản. Yêu cầu ở câu 50, 52.</w:t>
      </w:r>
    </w:p>
    <w:p>
      <w:pPr>
        <w:pStyle w:val="ListBullet"/>
      </w:pPr>
      <w:r>
        <w:rPr>
          <w:b/>
        </w:rPr>
        <w:t>BR-04-09</w:t>
      </w:r>
      <w:r>
        <w:rPr>
          <w:sz w:val="16"/>
        </w:rPr>
        <w:t xml:space="preserve">  [CFG/DEV]</w:t>
      </w:r>
      <w:r>
        <w:rPr>
          <w:sz w:val="17"/>
        </w:rPr>
        <w:t xml:space="preserve"> — BR-04-09 | Đơn hàng phải có ngày giao (Requested/Promised Delivery Date) trước khi Release | Kiểm soát bằng hướng dẫn + báo cáo kiểm tra đơn thiếu ngày giao; hoặc DEV kiểm tra khi Release | CFG/DEV</w:t>
      </w:r>
    </w:p>
    <w:p>
      <w:pPr>
        <w:pStyle w:val="ListBullet"/>
      </w:pPr>
      <w:r>
        <w:rPr>
          <w:b/>
        </w:rPr>
        <w:t>BR-05-02</w:t>
      </w:r>
      <w:r>
        <w:rPr>
          <w:sz w:val="16"/>
        </w:rPr>
        <w:t xml:space="preserve">  [CFG/DEV]</w:t>
      </w:r>
      <w:r>
        <w:rPr>
          <w:sz w:val="17"/>
        </w:rPr>
        <w:t xml:space="preserve"> — BR-05-02 | Ngày giao cam kết (Promised Delivery Date) phải được điền trước khi Release đơn hàng | Kiểm soát bằng hướng dẫn + báo cáo đơn thiếu ngày giao; hoặc DEV kiểm tra khi Release | CFG/DEV</w:t>
      </w:r>
    </w:p>
    <w:p>
      <w:pPr>
        <w:pStyle w:val="ListBullet"/>
      </w:pPr>
      <w:r>
        <w:rPr>
          <w:b/>
        </w:rPr>
        <w:t>Phiếu xuất bán / Phiếu xuất kho</w:t>
      </w:r>
      <w:r>
        <w:rPr>
          <w:sz w:val="16"/>
        </w:rPr>
        <w:t xml:space="preserve">  [DEV]</w:t>
      </w:r>
      <w:r>
        <w:rPr>
          <w:sz w:val="17"/>
        </w:rPr>
        <w:t xml:space="preserve"> — Phiếu xuất bán / Phiếu xuất kho | Report trên Warehouse Shipment hoặc Posted Sales Shipment | DEV | Nội dung bắt buộc theo câu 71: số đơn hàng, ngày giao, khách hàng, tên hàng, ĐVT, số lượng, quy cách, mã lô. Dùng để giao nhận với tài xế và bảo vệ.</w:t>
      </w:r>
    </w:p>
    <w:p>
      <w:pPr>
        <w:pStyle w:val="ListBullet"/>
      </w:pPr>
      <w:r>
        <w:rPr>
          <w:b/>
        </w:rPr>
        <w:t>Biên nhận giao hàng tổng hợp theo khách</w:t>
      </w:r>
      <w:r>
        <w:rPr>
          <w:sz w:val="16"/>
        </w:rPr>
        <w:t xml:space="preserve">  [DEV]</w:t>
      </w:r>
      <w:r>
        <w:rPr>
          <w:sz w:val="17"/>
        </w:rPr>
        <w:t xml:space="preserve"> — Biên nhận giao hàng tổng hợp theo khách | Report tổng hợp nhiều Posted Sales Shipment của cùng một khách | DEV | Yêu cầu câu 71: tất cả sản phẩm của mỗi khách trên cùng một biên nhận. BC chuẩn in theo từng phiếu giao → phải phát triển.</w:t>
      </w:r>
    </w:p>
    <w:p>
      <w:pPr>
        <w:pStyle w:val="ListBullet"/>
      </w:pPr>
      <w:r>
        <w:rPr>
          <w:b/>
        </w:rPr>
        <w:t>BR-07-05</w:t>
      </w:r>
      <w:r>
        <w:rPr>
          <w:sz w:val="16"/>
        </w:rPr>
        <w:t xml:space="preserve">  [WKA/DEV]</w:t>
      </w:r>
      <w:r>
        <w:rPr>
          <w:sz w:val="17"/>
        </w:rPr>
        <w:t xml:space="preserve"> — BR-07-05 | Khối lượng cân thực tế phải được đối chiếu với số lượng trên đơn hàng trước khi post | Kiểm soát bằng quy trình; nếu cần ràng buộc hệ thống → DEV field và kiểm tra khi post | WKA/DEV</w:t>
      </w:r>
    </w:p>
    <w:p>
      <w:pPr>
        <w:pStyle w:val="ListBullet"/>
      </w:pPr>
      <w:r>
        <w:rPr>
          <w:b/>
        </w:rPr>
        <w:t>BR-07-06</w:t>
      </w:r>
      <w:r>
        <w:rPr>
          <w:sz w:val="16"/>
        </w:rPr>
        <w:t xml:space="preserve">  [DEV]</w:t>
      </w:r>
      <w:r>
        <w:rPr>
          <w:sz w:val="17"/>
        </w:rPr>
        <w:t xml:space="preserve"> — BR-07-06 | Phiếu xuất bán phải có đủ: số đơn hàng, ngày giao, khách hàng, tên hàng, ĐVT, số lượng, quy cách, mã lô | Thiết kế mẫu in (hạng mục DEV) theo yêu cầu câu 71 | DEV</w:t>
      </w:r>
    </w:p>
    <w:p>
      <w:pPr>
        <w:pStyle w:val="ListBullet"/>
      </w:pPr>
      <w:r>
        <w:rPr>
          <w:b/>
        </w:rPr>
        <w:t>BR-07-07</w:t>
      </w:r>
      <w:r>
        <w:rPr>
          <w:sz w:val="16"/>
        </w:rPr>
        <w:t xml:space="preserve">  [CFG/DEV]</w:t>
      </w:r>
      <w:r>
        <w:rPr>
          <w:sz w:val="17"/>
        </w:rPr>
        <w:t xml:space="preserve"> — BR-07-07 | Khách hàng đặc thù phải in đúng mẫu phiếu giao hàng riêng của khách | Document Layouts theo Customer + Report Selection – Sales | CFG/DEV</w:t>
      </w:r>
    </w:p>
    <w:p>
      <w:pPr>
        <w:pStyle w:val="ListBullet"/>
      </w:pPr>
      <w:r>
        <w:rPr>
          <w:b/>
        </w:rPr>
        <w:t>Phiếu xuất bán (mẫu chung)</w:t>
      </w:r>
      <w:r>
        <w:rPr>
          <w:sz w:val="16"/>
        </w:rPr>
        <w:t xml:space="preserve">  [DEV]</w:t>
      </w:r>
      <w:r>
        <w:rPr>
          <w:sz w:val="17"/>
        </w:rPr>
        <w:t xml:space="preserve"> — Phiếu xuất bán (mẫu chung) | Report trên Posted Sales Shipment | DEV | Nội dung bắt buộc theo câu 71. Dùng giao nhận với tài xế và bảo vệ.</w:t>
      </w:r>
    </w:p>
    <w:p>
      <w:pPr>
        <w:pStyle w:val="ListBullet"/>
      </w:pPr>
      <w:r>
        <w:rPr>
          <w:b/>
        </w:rPr>
        <w:t>Phiếu giao hàng mẫu riêng theo khách</w:t>
      </w:r>
      <w:r>
        <w:rPr>
          <w:sz w:val="16"/>
        </w:rPr>
        <w:t xml:space="preserve">  [DEV]</w:t>
      </w:r>
      <w:r>
        <w:rPr>
          <w:sz w:val="17"/>
        </w:rPr>
        <w:t xml:space="preserve"> — Phiếu giao hàng mẫu riêng theo khách | Custom Report Layout + Document Layouts theo Customer | DEV | Khách đặc thù: Geuther, Everyoung, An Cường, Trường Thành, Mekong, Hành Mỹ và các khách khác (câu 73). Mỗi mẫu = 1 hạng mục DEV, cần đếm chính xác số mẫu.</w:t>
      </w:r>
    </w:p>
    <w:p>
      <w:pPr>
        <w:pStyle w:val="ListBullet"/>
      </w:pPr>
      <w:r>
        <w:rPr>
          <w:b/>
        </w:rPr>
        <w:t>Biên nhận giao hàng tổng hợp</w:t>
      </w:r>
      <w:r>
        <w:rPr>
          <w:sz w:val="16"/>
        </w:rPr>
        <w:t xml:space="preserve">  [DEV]</w:t>
      </w:r>
      <w:r>
        <w:rPr>
          <w:sz w:val="17"/>
        </w:rPr>
        <w:t xml:space="preserve"> — Biên nhận giao hàng tổng hợp | Report tổng hợp nhiều Posted Sales Shipment | DEV | Yêu cầu câu 71: tất cả sản phẩm của mỗi khách trên cùng một biên nhận.</w:t>
      </w:r>
    </w:p>
    <w:p>
      <w:pPr>
        <w:pStyle w:val="ListBullet"/>
      </w:pPr>
      <w:r>
        <w:rPr>
          <w:b/>
        </w:rPr>
        <w:t>Nhãn sản phẩm có mã lô</w:t>
      </w:r>
      <w:r>
        <w:rPr>
          <w:sz w:val="16"/>
        </w:rPr>
        <w:t xml:space="preserve">  [DEV]</w:t>
      </w:r>
      <w:r>
        <w:rPr>
          <w:sz w:val="17"/>
        </w:rPr>
        <w:t xml:space="preserve"> — Nhãn sản phẩm có mã lô | Report nhãn (Item Label) | DEV | Từ mã lô trên nhãn truy được ngày sản xuất (câu 74). Cần chốt quy tắc mã lô ở mục 5.1.2 trước.</w:t>
      </w:r>
    </w:p>
    <w:p>
      <w:pPr>
        <w:pStyle w:val="ListBullet"/>
      </w:pPr>
      <w:r>
        <w:rPr>
          <w:b/>
        </w:rPr>
        <w:t>BR-08-04</w:t>
      </w:r>
      <w:r>
        <w:rPr>
          <w:sz w:val="16"/>
        </w:rPr>
        <w:t xml:space="preserve">  [DEV]</w:t>
      </w:r>
      <w:r>
        <w:rPr>
          <w:sz w:val="17"/>
        </w:rPr>
        <w:t xml:space="preserve"> — BR-08-04 | Số hoá đơn điện tử phải được lưu trên Posted Sales Invoice để đối chiếu | Trường bổ sung qua tích hợp – bắt buộc trong thiết kế Chương 10 | DEV</w:t>
      </w:r>
    </w:p>
    <w:p>
      <w:pPr>
        <w:pStyle w:val="ListBullet"/>
      </w:pPr>
      <w:r>
        <w:rPr>
          <w:b/>
        </w:rPr>
        <w:t>BR-08-10</w:t>
      </w:r>
      <w:r>
        <w:rPr>
          <w:sz w:val="16"/>
        </w:rPr>
        <w:t xml:space="preserve">  [DEV]</w:t>
      </w:r>
      <w:r>
        <w:rPr>
          <w:sz w:val="17"/>
        </w:rPr>
        <w:t xml:space="preserve"> — BR-08-10 | Phải phát hiện được hoá đơn phát hành HĐĐT lỗi trong ngày, không chờ khách phản hồi | Báo cáo/danh sách trạng thái phát hành + Job Queue kiểm tra định kỳ (thiết kế ở Chương 10) | DEV</w:t>
      </w:r>
    </w:p>
    <w:p>
      <w:pPr>
        <w:pStyle w:val="ListBullet"/>
      </w:pPr>
      <w:r>
        <w:rPr>
          <w:b/>
        </w:rPr>
        <w:t>Hoá đơn GTGT (bản in nội bộ)</w:t>
      </w:r>
      <w:r>
        <w:rPr>
          <w:sz w:val="16"/>
        </w:rPr>
        <w:t xml:space="preserve">  [CFG/DEV]</w:t>
      </w:r>
      <w:r>
        <w:rPr>
          <w:sz w:val="17"/>
        </w:rPr>
        <w:t xml:space="preserve"> — Hoá đơn GTGT (bản in nội bộ) | Report trên Posted Sales Invoice | CFG/DEV | Bản in nội bộ để kiểm tra. Hoá đơn hợp pháp là bản do hệ thống HĐĐT phát hành.</w:t>
      </w:r>
    </w:p>
    <w:p>
      <w:pPr>
        <w:pStyle w:val="ListBullet"/>
      </w:pPr>
      <w:r>
        <w:rPr>
          <w:b/>
        </w:rPr>
        <w:t>Hoá đơn điện tử</w:t>
      </w:r>
      <w:r>
        <w:rPr>
          <w:sz w:val="16"/>
        </w:rPr>
        <w:t xml:space="preserve">  [DEV (tích hợp)]</w:t>
      </w:r>
      <w:r>
        <w:rPr>
          <w:sz w:val="17"/>
        </w:rPr>
        <w:t xml:space="preserve"> — Hoá đơn điện tử | Hệ thống HĐĐT của BTChem | DEV (tích hợp) | Chi tiết thiết kế ở Chương 10. Phải lưu số hoá đơn và mã tra cứu về BC.</w:t>
      </w:r>
    </w:p>
    <w:p>
      <w:pPr>
        <w:pStyle w:val="ListBullet"/>
      </w:pPr>
      <w:r>
        <w:rPr>
          <w:b/>
        </w:rPr>
        <w:t>Hoá đơn giảm trừ</w:t>
      </w:r>
      <w:r>
        <w:rPr>
          <w:sz w:val="16"/>
        </w:rPr>
        <w:t xml:space="preserve">  [CFG/DEV]</w:t>
      </w:r>
      <w:r>
        <w:rPr>
          <w:sz w:val="17"/>
        </w:rPr>
        <w:t xml:space="preserve"> — Hoá đơn giảm trừ | Report trên Posted Sales Credit Memo | CFG/DEV | Phải tham chiếu số hoá đơn gốc theo quy định.</w:t>
      </w:r>
    </w:p>
    <w:p>
      <w:pPr>
        <w:pStyle w:val="ListBullet"/>
      </w:pPr>
      <w:r>
        <w:rPr>
          <w:b/>
        </w:rPr>
        <w:t>Báo cáo trạng thái phát hành HĐĐT</w:t>
      </w:r>
      <w:r>
        <w:rPr>
          <w:sz w:val="16"/>
        </w:rPr>
        <w:t xml:space="preserve">  [DEV]</w:t>
      </w:r>
      <w:r>
        <w:rPr>
          <w:sz w:val="17"/>
        </w:rPr>
        <w:t xml:space="preserve"> — Báo cáo trạng thái phát hành HĐĐT | Danh sách/report từ tích hợp | DEV | Bắt buộc để phát hiện lỗi chủ động (BR-08-10).</w:t>
      </w:r>
    </w:p>
    <w:p>
      <w:pPr>
        <w:pStyle w:val="ListBullet"/>
      </w:pPr>
      <w:r>
        <w:rPr>
          <w:b/>
        </w:rPr>
        <w:t>BR-09-01</w:t>
      </w:r>
      <w:r>
        <w:rPr>
          <w:sz w:val="16"/>
        </w:rPr>
        <w:t xml:space="preserve">  [WKA/DEV]</w:t>
      </w:r>
      <w:r>
        <w:rPr>
          <w:sz w:val="17"/>
        </w:rPr>
        <w:t xml:space="preserve"> — BR-09-01 | Kho phải kiểm tra khối lượng cân thực tế trước khi post ship | Quy trình + hướng dẫn; nếu cần ràng buộc hệ thống → DEV field và kiểm tra khi post | WKA/DEV</w:t>
      </w:r>
    </w:p>
    <w:p>
      <w:pPr>
        <w:pStyle w:val="ListBullet"/>
      </w:pPr>
      <w:r>
        <w:rPr>
          <w:b/>
        </w:rPr>
        <w:t>BR-10-08</w:t>
      </w:r>
      <w:r>
        <w:rPr>
          <w:sz w:val="16"/>
        </w:rPr>
        <w:t xml:space="preserve">  [DEV/WKA]</w:t>
      </w:r>
      <w:r>
        <w:rPr>
          <w:sz w:val="17"/>
        </w:rPr>
        <w:t xml:space="preserve"> — BR-10-08 | Mỗi khiếu nại phải có hồ sơ nguyên nhân gốc và hành động khắc phục | Theo công cụ CAPA được chốt (xem Gap) | DEV/WKA</w:t>
      </w:r>
    </w:p>
    <w:p>
      <w:pPr>
        <w:pStyle w:val="ListBullet"/>
      </w:pPr>
      <w:r>
        <w:rPr>
          <w:b/>
        </w:rPr>
        <w:t>Phiếu đề nghị nhận hàng trả về</w:t>
      </w:r>
      <w:r>
        <w:rPr>
          <w:sz w:val="16"/>
        </w:rPr>
        <w:t xml:space="preserve">  [CFG/DEV]</w:t>
      </w:r>
      <w:r>
        <w:rPr>
          <w:sz w:val="17"/>
        </w:rPr>
        <w:t xml:space="preserve"> — Phiếu đề nghị nhận hàng trả về | Sales Return Order (bản in) + Approval trên BC | CFG/DEV | Thay thế phiếu đề nghị BGĐ ký bằng giấy hiện tại.</w:t>
      </w:r>
    </w:p>
    <w:p>
      <w:pPr>
        <w:pStyle w:val="ListBullet"/>
      </w:pPr>
      <w:r>
        <w:rPr>
          <w:b/>
        </w:rPr>
        <w:t>Phiếu nhập hàng trả lại</w:t>
      </w:r>
      <w:r>
        <w:rPr>
          <w:sz w:val="16"/>
        </w:rPr>
        <w:t xml:space="preserve">  [CFG/DEV]</w:t>
      </w:r>
      <w:r>
        <w:rPr>
          <w:sz w:val="17"/>
        </w:rPr>
        <w:t xml:space="preserve"> — Phiếu nhập hàng trả lại | Report trên Posted Return Receipt | CFG/DEV | Phải có mã lô để đối chiếu với hàng thực nhận.</w:t>
      </w:r>
    </w:p>
    <w:p>
      <w:pPr>
        <w:pStyle w:val="ListBullet"/>
      </w:pPr>
      <w:r>
        <w:rPr>
          <w:b/>
        </w:rPr>
        <w:t>Báo cáo trả hàng theo nguyên nhân</w:t>
      </w:r>
      <w:r>
        <w:rPr>
          <w:sz w:val="16"/>
        </w:rPr>
        <w:t xml:space="preserve">  [CFG/DEV]</w:t>
      </w:r>
      <w:r>
        <w:rPr>
          <w:sz w:val="17"/>
        </w:rPr>
        <w:t xml:space="preserve"> — Báo cáo trả hàng theo nguyên nhân | Báo cáo từ Return Reason Code | CFG/DEV | Phân tích nguyên nhân theo tháng, theo khách hàng, theo lô sản xuất (câu 85, 88).</w:t>
      </w:r>
    </w:p>
    <w:p>
      <w:pPr>
        <w:pStyle w:val="ListBullet"/>
      </w:pPr>
      <w:r>
        <w:rPr>
          <w:b/>
        </w:rPr>
        <w:t>Hồ sơ khiếu nại và CAPA</w:t>
      </w:r>
      <w:r>
        <w:rPr>
          <w:sz w:val="16"/>
        </w:rPr>
        <w:t xml:space="preserve">  [DEV/WKA]</w:t>
      </w:r>
      <w:r>
        <w:rPr>
          <w:sz w:val="17"/>
        </w:rPr>
        <w:t xml:space="preserve"> — Hồ sơ khiếu nại và CAPA | Theo công cụ được chốt (xem Gap) | DEV/WKA | Nguyên nhân gốc, hành động khắc phục, người thực hiện, hạn, kết quả kiểm tra hiệu quả (câu 88).</w:t>
      </w:r>
    </w:p>
    <w:p>
      <w:pPr>
        <w:pStyle w:val="Heading2"/>
      </w:pPr>
      <w:r>
        <w:t>Kho &amp; Tồn kho — 13 hạng mục</w:t>
      </w:r>
    </w:p>
    <w:p>
      <w:pPr>
        <w:pStyle w:val="ListBullet"/>
      </w:pPr>
      <w:r>
        <w:rPr>
          <w:b/>
        </w:rPr>
        <w:t>BR-04-03</w:t>
      </w:r>
      <w:r>
        <w:rPr>
          <w:sz w:val="16"/>
        </w:rPr>
        <w:t xml:space="preserve">  [CFG/DEV]</w:t>
      </w:r>
      <w:r>
        <w:rPr>
          <w:sz w:val="17"/>
        </w:rPr>
        <w:t xml:space="preserve"> — BR-04-03 | Số lô phải theo quy tắc chuẩn hoá toàn công ty | No. Series hoặc quy tắc đã chốt ở 5.1.2 | CFG/DEV</w:t>
      </w:r>
    </w:p>
    <w:p>
      <w:pPr>
        <w:pStyle w:val="ListBullet"/>
      </w:pPr>
      <w:r>
        <w:rPr>
          <w:b/>
        </w:rPr>
        <w:t>BR-04-06</w:t>
      </w:r>
      <w:r>
        <w:rPr>
          <w:sz w:val="16"/>
        </w:rPr>
        <w:t xml:space="preserve">  [WKA/DEV]</w:t>
      </w:r>
      <w:r>
        <w:rPr>
          <w:sz w:val="17"/>
        </w:rPr>
        <w:t xml:space="preserve"> — BR-04-06 | Khối lượng nhập kho phải khớp khối lượng cân thực tế | Đối chiếu thủ công; tự động nếu tích hợp trạm cân | WKA/DEV</w:t>
      </w:r>
    </w:p>
    <w:p>
      <w:pPr>
        <w:pStyle w:val="ListBullet"/>
      </w:pPr>
      <w:r>
        <w:rPr>
          <w:b/>
        </w:rPr>
        <w:t>BR-06-07</w:t>
      </w:r>
      <w:r>
        <w:rPr>
          <w:sz w:val="16"/>
        </w:rPr>
        <w:t xml:space="preserve">  [DEV]</w:t>
      </w:r>
      <w:r>
        <w:rPr>
          <w:sz w:val="17"/>
        </w:rPr>
        <w:t xml:space="preserve"> — BR-06-07 | Phiếu xuất phải hiển thị vị trí (Bin) để thuận tiện soạn hàng | Mẫu in DEV có cột Bin Code | DEV</w:t>
      </w:r>
    </w:p>
    <w:p>
      <w:pPr>
        <w:pStyle w:val="ListBullet"/>
      </w:pPr>
      <w:r>
        <w:rPr>
          <w:b/>
        </w:rPr>
        <w:t>Biên bản điều chỉnh tồn kho</w:t>
      </w:r>
      <w:r>
        <w:rPr>
          <w:sz w:val="16"/>
        </w:rPr>
        <w:t xml:space="preserve">  [DEV]</w:t>
      </w:r>
      <w:r>
        <w:rPr>
          <w:sz w:val="17"/>
        </w:rPr>
        <w:t xml:space="preserve"> — Biên bản điều chỉnh tồn kho | Report trên Posted Item Journal | DEV | Nội dung: mã hàng, lô, kho, số lượng, lý do, người đề nghị, người duyệt, ngày.</w:t>
      </w:r>
    </w:p>
    <w:p>
      <w:pPr>
        <w:pStyle w:val="ListBullet"/>
      </w:pPr>
      <w:r>
        <w:rPr>
          <w:b/>
        </w:rPr>
        <w:t>Báo cáo hao hụt so với định mức</w:t>
      </w:r>
      <w:r>
        <w:rPr>
          <w:sz w:val="16"/>
        </w:rPr>
        <w:t xml:space="preserve">  [DEV]</w:t>
      </w:r>
      <w:r>
        <w:rPr>
          <w:sz w:val="17"/>
        </w:rPr>
        <w:t xml:space="preserve"> — Báo cáo hao hụt so với định mức | Báo cáo tuỳ biến | DEV | So sánh hao hụt thực tế với định mức đã duyệt.</w:t>
      </w:r>
    </w:p>
    <w:p>
      <w:pPr>
        <w:pStyle w:val="ListBullet"/>
      </w:pPr>
      <w:r>
        <w:rPr>
          <w:b/>
        </w:rPr>
        <w:t>Phiếu kiểm kê</w:t>
      </w:r>
      <w:r>
        <w:rPr>
          <w:sz w:val="16"/>
        </w:rPr>
        <w:t xml:space="preserve">  [CFG/DEV]</w:t>
      </w:r>
      <w:r>
        <w:rPr>
          <w:sz w:val="17"/>
        </w:rPr>
        <w:t xml:space="preserve"> — Phiếu kiểm kê | Phys. Inventory List | CFG/DEV | Chia theo khu vực/Bin; có cột trống ghi số thực tế và ô ký của người đếm.</w:t>
      </w:r>
    </w:p>
    <w:p>
      <w:pPr>
        <w:pStyle w:val="ListBullet"/>
      </w:pPr>
      <w:r>
        <w:rPr>
          <w:b/>
        </w:rPr>
        <w:t>Biên bản kiểm kê</w:t>
      </w:r>
      <w:r>
        <w:rPr>
          <w:sz w:val="16"/>
        </w:rPr>
        <w:t xml:space="preserve">  [DEV]</w:t>
      </w:r>
      <w:r>
        <w:rPr>
          <w:sz w:val="17"/>
        </w:rPr>
        <w:t xml:space="preserve"> — Biên bản kiểm kê | Report tuỳ biến | DEV | Theo mẫu của BTChem, có thành phần hội đồng kiểm kê và chữ ký.</w:t>
      </w:r>
    </w:p>
    <w:p>
      <w:pPr>
        <w:pStyle w:val="ListBullet"/>
      </w:pPr>
      <w:r>
        <w:rPr>
          <w:b/>
        </w:rPr>
        <w:t>Báo cáo độ chính xác tồn kho</w:t>
      </w:r>
      <w:r>
        <w:rPr>
          <w:sz w:val="16"/>
        </w:rPr>
        <w:t xml:space="preserve">  [DEV]</w:t>
      </w:r>
      <w:r>
        <w:rPr>
          <w:sz w:val="17"/>
        </w:rPr>
        <w:t xml:space="preserve"> — Báo cáo độ chính xác tồn kho | Báo cáo tuỳ biến từ Physical Inventory Ledger Entries | DEV | KPI cho bộ phận kho; so sánh qua các kỳ.</w:t>
      </w:r>
    </w:p>
    <w:p>
      <w:pPr>
        <w:pStyle w:val="ListBullet"/>
      </w:pPr>
      <w:r>
        <w:rPr>
          <w:b/>
        </w:rPr>
        <w:t>BR-10-03</w:t>
      </w:r>
      <w:r>
        <w:rPr>
          <w:sz w:val="16"/>
        </w:rPr>
        <w:t xml:space="preserve">  [CFG/DEV]</w:t>
      </w:r>
      <w:r>
        <w:rPr>
          <w:sz w:val="17"/>
        </w:rPr>
        <w:t xml:space="preserve"> — BR-10-03 | Mã lô phải theo quy tắc chuẩn hoá toàn công ty | No. Series hoặc quy tắc đã chốt ở 5.1.2 | CFG/DEV</w:t>
      </w:r>
    </w:p>
    <w:p>
      <w:pPr>
        <w:pStyle w:val="ListBullet"/>
      </w:pPr>
      <w:r>
        <w:rPr>
          <w:b/>
        </w:rPr>
        <w:t>Báo cáo hàng cận hạn</w:t>
      </w:r>
      <w:r>
        <w:rPr>
          <w:sz w:val="16"/>
        </w:rPr>
        <w:t xml:space="preserve">  [STD/DEV]</w:t>
      </w:r>
      <w:r>
        <w:rPr>
          <w:sz w:val="17"/>
        </w:rPr>
        <w:t xml:space="preserve"> — Báo cáo hàng cận hạn | Item Expiration – Quantity; hoặc báo cáo tuỳ biến theo ngưỡng 1/2 vòng đời | STD/DEV | Đề xuất của KTP.</w:t>
      </w:r>
    </w:p>
    <w:p>
      <w:pPr>
        <w:pStyle w:val="ListBullet"/>
      </w:pPr>
      <w:r>
        <w:rPr>
          <w:b/>
        </w:rPr>
        <w:t>Nhãn lô dán trên hàng hoá</w:t>
      </w:r>
      <w:r>
        <w:rPr>
          <w:sz w:val="16"/>
        </w:rPr>
        <w:t xml:space="preserve">  [DEV]</w:t>
      </w:r>
      <w:r>
        <w:rPr>
          <w:sz w:val="17"/>
        </w:rPr>
        <w:t xml:space="preserve"> — Nhãn lô dán trên hàng hoá | Report nhãn | DEV | Từ mã lô trên nhãn truy được ngày sản xuất.</w:t>
      </w:r>
    </w:p>
    <w:p>
      <w:pPr>
        <w:pStyle w:val="ListBullet"/>
      </w:pPr>
      <w:r>
        <w:rPr>
          <w:b/>
        </w:rPr>
        <w:t>Bảng theo dõi tiến độ thu hồi</w:t>
      </w:r>
      <w:r>
        <w:rPr>
          <w:sz w:val="16"/>
        </w:rPr>
        <w:t xml:space="preserve">  [WKA/DEV]</w:t>
      </w:r>
      <w:r>
        <w:rPr>
          <w:sz w:val="17"/>
        </w:rPr>
        <w:t xml:space="preserve"> — Bảng theo dõi tiến độ thu hồi | Excel; bảng trên BC | WKA/DEV | Theo dõi đã thông báo bao nhiêu khách, thu về bao nhiêu.</w:t>
      </w:r>
    </w:p>
    <w:p>
      <w:pPr>
        <w:pStyle w:val="ListBullet"/>
      </w:pPr>
      <w:r>
        <w:rPr>
          <w:b/>
        </w:rPr>
        <w:t>Báo cáo tổng kết thu hồi và CAPA</w:t>
      </w:r>
      <w:r>
        <w:rPr>
          <w:sz w:val="16"/>
        </w:rPr>
        <w:t xml:space="preserve">  [DEV/WKA]</w:t>
      </w:r>
      <w:r>
        <w:rPr>
          <w:sz w:val="17"/>
        </w:rPr>
        <w:t xml:space="preserve"> — Báo cáo tổng kết thu hồi và CAPA | Theo Blueprint Quản lý chất lượng | DEV/WKA | Hồ sơ đầy đủ để giải trình và ngăn tái diễn.</w:t>
      </w:r>
    </w:p>
    <w:p>
      <w:pPr>
        <w:pStyle w:val="Heading2"/>
      </w:pPr>
      <w:r>
        <w:t>Mua hàng – Vật tư — 10 hạng mục</w:t>
      </w:r>
    </w:p>
    <w:p>
      <w:pPr>
        <w:pStyle w:val="ListBullet"/>
      </w:pPr>
      <w:r>
        <w:rPr>
          <w:b/>
        </w:rPr>
        <w:t>BR-06-02</w:t>
      </w:r>
      <w:r>
        <w:rPr>
          <w:sz w:val="16"/>
        </w:rPr>
        <w:t xml:space="preserve">  [CFG/DEV]</w:t>
      </w:r>
      <w:r>
        <w:rPr>
          <w:sz w:val="17"/>
        </w:rPr>
        <w:t xml:space="preserve"> — BR-06-02 | PO phải có Expected Receipt Date trước khi Release | Kiểm soát bằng hướng dẫn + báo cáo PO thiếu ngày nhận; hoặc DEV kiểm tra khi Release | CFG/DEV</w:t>
      </w:r>
    </w:p>
    <w:p>
      <w:pPr>
        <w:pStyle w:val="ListBullet"/>
      </w:pPr>
      <w:r>
        <w:rPr>
          <w:b/>
        </w:rPr>
        <w:t>BR-06-05</w:t>
      </w:r>
      <w:r>
        <w:rPr>
          <w:sz w:val="16"/>
        </w:rPr>
        <w:t xml:space="preserve">  [CFG/DEV]</w:t>
      </w:r>
      <w:r>
        <w:rPr>
          <w:sz w:val="17"/>
        </w:rPr>
        <w:t xml:space="preserve"> — BR-06-05 | Sửa PO sau khi Released: thay đổi giá hoặc số lượng phải được phê duyệt lại; thông tin khác không cần | Workflow với điều kiện trên field Direct Unit Cost và Quantity (câu 102) | CFG/DEV</w:t>
      </w:r>
    </w:p>
    <w:p>
      <w:pPr>
        <w:pStyle w:val="ListBullet"/>
      </w:pPr>
      <w:r>
        <w:rPr>
          <w:b/>
        </w:rPr>
        <w:t>Đơn mua hàng (PO) gửi NCC</w:t>
      </w:r>
      <w:r>
        <w:rPr>
          <w:sz w:val="16"/>
        </w:rPr>
        <w:t xml:space="preserve">  [CFG/DEV]</w:t>
      </w:r>
      <w:r>
        <w:rPr>
          <w:sz w:val="17"/>
        </w:rPr>
        <w:t xml:space="preserve"> — Đơn mua hàng (PO) gửi NCC | Report trên Purchase Order | CFG/DEV | Cần mẫu theo thương hiệu BTChem: logo, thông tin công ty, điều khoản mua hàng chuẩn, yêu cầu chứng từ kèm theo (COA, CQ), địa chỉ giao hàng.</w:t>
      </w:r>
    </w:p>
    <w:p>
      <w:pPr>
        <w:pStyle w:val="ListBullet"/>
      </w:pPr>
      <w:r>
        <w:rPr>
          <w:b/>
        </w:rPr>
        <w:t>BR-07-03</w:t>
      </w:r>
      <w:r>
        <w:rPr>
          <w:sz w:val="16"/>
        </w:rPr>
        <w:t xml:space="preserve">  [CFG/DEV]</w:t>
      </w:r>
      <w:r>
        <w:rPr>
          <w:sz w:val="17"/>
        </w:rPr>
        <w:t xml:space="preserve"> — BR-07-03 | Thay đổi ngày giao không cần duyệt lại; thay đổi giá và số lượng phải duyệt lại | Theo câu 102; cấu hình workflow hoặc quy trình | CFG/DEV</w:t>
      </w:r>
    </w:p>
    <w:p>
      <w:pPr>
        <w:pStyle w:val="ListBullet"/>
      </w:pPr>
      <w:r>
        <w:rPr>
          <w:b/>
        </w:rPr>
        <w:t>BR-08-08</w:t>
      </w:r>
      <w:r>
        <w:rPr>
          <w:sz w:val="16"/>
        </w:rPr>
        <w:t xml:space="preserve">  [DEV]</w:t>
      </w:r>
      <w:r>
        <w:rPr>
          <w:sz w:val="17"/>
        </w:rPr>
        <w:t xml:space="preserve"> — BR-08-08 | Phiếu nhập kho phải có chữ ký của PVT, Kho và Bảo vệ | Mẫu in DEV có ô ký; giữ thủ tục kiểm soát hiện hành (câu 108) | DEV</w:t>
      </w:r>
    </w:p>
    <w:p>
      <w:pPr>
        <w:pStyle w:val="ListBullet"/>
      </w:pPr>
      <w:r>
        <w:rPr>
          <w:b/>
        </w:rPr>
        <w:t>Phiếu nhập kho NVL</w:t>
      </w:r>
      <w:r>
        <w:rPr>
          <w:sz w:val="16"/>
        </w:rPr>
        <w:t xml:space="preserve">  [DEV]</w:t>
      </w:r>
      <w:r>
        <w:rPr>
          <w:sz w:val="17"/>
        </w:rPr>
        <w:t xml:space="preserve"> — Phiếu nhập kho NVL | Report trên Posted Purchase Receipt | DEV | Phải có ô ký của PVT, Kho, Bảo vệ (câu 108). Nội dung: NCC, số PO, mặt hàng, ĐVT, số lượng, số lô, hạn dùng, quy cách.</w:t>
      </w:r>
    </w:p>
    <w:p>
      <w:pPr>
        <w:pStyle w:val="ListBullet"/>
      </w:pPr>
      <w:r>
        <w:rPr>
          <w:b/>
        </w:rPr>
        <w:t>Nhãn nhận diện lô NVL</w:t>
      </w:r>
      <w:r>
        <w:rPr>
          <w:sz w:val="16"/>
        </w:rPr>
        <w:t xml:space="preserve">  [DEV]</w:t>
      </w:r>
      <w:r>
        <w:rPr>
          <w:sz w:val="17"/>
        </w:rPr>
        <w:t xml:space="preserve"> — Nhãn nhận diện lô NVL | Report nhãn | DEV | Dán lên hàng trong kho cách ly để không lẫn với hàng đã kiểm.</w:t>
      </w:r>
    </w:p>
    <w:p>
      <w:pPr>
        <w:pStyle w:val="ListBullet"/>
      </w:pPr>
      <w:r>
        <w:rPr>
          <w:b/>
        </w:rPr>
        <w:t>BR-09-06</w:t>
      </w:r>
      <w:r>
        <w:rPr>
          <w:sz w:val="16"/>
        </w:rPr>
        <w:t xml:space="preserve">  [CFG/DEV]</w:t>
      </w:r>
      <w:r>
        <w:rPr>
          <w:sz w:val="17"/>
        </w:rPr>
        <w:t xml:space="preserve"> — BR-09-06 | Kết quả kiểm tra phải được lưu gắn với lô hàng | Attachments/Comment trên Posted Purchase Receipt; hoặc bảng QC (Blueprint QC) | CFG/DEV</w:t>
      </w:r>
    </w:p>
    <w:p>
      <w:pPr>
        <w:pStyle w:val="ListBullet"/>
      </w:pPr>
      <w:r>
        <w:rPr>
          <w:b/>
        </w:rPr>
        <w:t>Biên bản trả hàng NCC</w:t>
      </w:r>
      <w:r>
        <w:rPr>
          <w:sz w:val="16"/>
        </w:rPr>
        <w:t xml:space="preserve">  [DEV]</w:t>
      </w:r>
      <w:r>
        <w:rPr>
          <w:sz w:val="17"/>
        </w:rPr>
        <w:t xml:space="preserve"> — Biên bản trả hàng NCC | Report trên Purchase Return Order / Posted Return Shipment | DEV | Yêu cầu ở câu 124. Nội dung: NCC, mặt hàng, số lô, số lượng, lý do, kết quả kiểm tra tham chiếu, chữ ký hai bên.</w:t>
      </w:r>
    </w:p>
    <w:p>
      <w:pPr>
        <w:pStyle w:val="ListBullet"/>
      </w:pPr>
      <w:r>
        <w:rPr>
          <w:b/>
        </w:rPr>
        <w:t>BR-13-03</w:t>
      </w:r>
      <w:r>
        <w:rPr>
          <w:sz w:val="16"/>
        </w:rPr>
        <w:t xml:space="preserve">  [DEV]</w:t>
      </w:r>
      <w:r>
        <w:rPr>
          <w:sz w:val="17"/>
        </w:rPr>
        <w:t xml:space="preserve"> — BR-13-03 | Kết quả xếp hạng phải được lưu trên Vendor Card | Trường Vendor Rating (DEV) | DEV</w:t>
      </w:r>
    </w:p>
    <w:p>
      <w:pPr>
        <w:pStyle w:val="Heading2"/>
      </w:pPr>
      <w:r>
        <w:t>Sản xuất — 5 hạng mục</w:t>
      </w:r>
    </w:p>
    <w:p>
      <w:pPr>
        <w:pStyle w:val="ListBullet"/>
      </w:pPr>
      <w:r>
        <w:rPr>
          <w:b/>
        </w:rPr>
        <w:t>Phiếu sản xuất</w:t>
      </w:r>
      <w:r>
        <w:rPr>
          <w:sz w:val="16"/>
        </w:rPr>
        <w:t xml:space="preserve">  [STD/DEV]</w:t>
      </w:r>
      <w:r>
        <w:rPr>
          <w:sz w:val="17"/>
        </w:rPr>
        <w:t xml:space="preserve"> — Phiếu sản xuất | Report: Prod. Order Job Card | STD/DEV | Cần điều chỉnh mẫu theo BTChem: thông tin công đoạn, thiết bị, thời gian, số lô</w:t>
      </w:r>
    </w:p>
    <w:p>
      <w:pPr>
        <w:pStyle w:val="ListBullet"/>
      </w:pPr>
      <w:r>
        <w:rPr>
          <w:b/>
        </w:rPr>
        <w:t>Phiếu cấp phát NVL</w:t>
      </w:r>
      <w:r>
        <w:rPr>
          <w:sz w:val="16"/>
        </w:rPr>
        <w:t xml:space="preserve">  [STD/DEV]</w:t>
      </w:r>
      <w:r>
        <w:rPr>
          <w:sz w:val="17"/>
        </w:rPr>
        <w:t xml:space="preserve"> — Phiếu cấp phát NVL | Report: Prod. Order Picking List | STD/DEV | Cần có Bin Code và Lot No. đề xuất theo FEFO</w:t>
      </w:r>
    </w:p>
    <w:p>
      <w:pPr>
        <w:pStyle w:val="ListBullet"/>
      </w:pPr>
      <w:r>
        <w:rPr>
          <w:b/>
        </w:rPr>
        <w:t>Work Instruction</w:t>
      </w:r>
      <w:r>
        <w:rPr>
          <w:sz w:val="16"/>
        </w:rPr>
        <w:t xml:space="preserve">  [DEV]</w:t>
      </w:r>
      <w:r>
        <w:rPr>
          <w:sz w:val="17"/>
        </w:rPr>
        <w:t xml:space="preserve"> — Work Instruction | Routing Line Description/Comment; hoặc tài liệu đính kèm | DEV | BC chuẩn hạn chế – xem Gap.</w:t>
      </w:r>
    </w:p>
    <w:p>
      <w:pPr>
        <w:pStyle w:val="ListBullet"/>
      </w:pPr>
      <w:r>
        <w:rPr>
          <w:b/>
        </w:rPr>
        <w:t>Nhãn lô thành phẩm</w:t>
      </w:r>
      <w:r>
        <w:rPr>
          <w:sz w:val="16"/>
        </w:rPr>
        <w:t xml:space="preserve">  [DEV]</w:t>
      </w:r>
      <w:r>
        <w:rPr>
          <w:sz w:val="17"/>
        </w:rPr>
        <w:t xml:space="preserve"> — Nhãn lô thành phẩm | Report nhãn | DEV | Số lô = mã lệnh sản xuất</w:t>
      </w:r>
    </w:p>
    <w:p>
      <w:pPr>
        <w:pStyle w:val="ListBullet"/>
      </w:pPr>
      <w:r>
        <w:rPr>
          <w:b/>
        </w:rPr>
        <w:t>BR-08-01</w:t>
      </w:r>
      <w:r>
        <w:rPr>
          <w:sz w:val="16"/>
        </w:rPr>
        <w:t xml:space="preserve">  [CFG/DEV]</w:t>
      </w:r>
      <w:r>
        <w:rPr>
          <w:sz w:val="17"/>
        </w:rPr>
        <w:t xml:space="preserve"> — BR-08-01 | Lot thành phẩm phải bằng mã lệnh sản xuất | Cấu hình gán lô tự động hoặc DEV nhỏ | CFG/DEV</w:t>
      </w:r>
    </w:p>
    <w:p>
      <w:pPr>
        <w:pStyle w:val="Heading2"/>
      </w:pPr>
      <w:r>
        <w:t>Quản lý chất lượng — 3 hạng mục</w:t>
      </w:r>
    </w:p>
    <w:p>
      <w:pPr>
        <w:pStyle w:val="ListBullet"/>
      </w:pPr>
      <w:r>
        <w:rPr>
          <w:b/>
        </w:rPr>
        <w:t>Bảng tiêu chuẩn sản phẩm</w:t>
      </w:r>
      <w:r>
        <w:rPr>
          <w:sz w:val="16"/>
        </w:rPr>
        <w:t xml:space="preserve">  [STD/DEV]</w:t>
      </w:r>
      <w:r>
        <w:rPr>
          <w:sz w:val="17"/>
        </w:rPr>
        <w:t xml:space="preserve"> — Bảng tiêu chuẩn sản phẩm | Quality Inspection Template → in | STD/DEV | Nếu cần biểu mẫu tiếng Việt riêng cho hồ sơ ISO thì DEV mẫu in</w:t>
      </w:r>
    </w:p>
    <w:p>
      <w:pPr>
        <w:pStyle w:val="ListBullet"/>
      </w:pPr>
      <w:r>
        <w:rPr>
          <w:b/>
        </w:rPr>
        <w:t>Phiếu kiểm tra chất lượng NVL</w:t>
      </w:r>
      <w:r>
        <w:rPr>
          <w:sz w:val="16"/>
        </w:rPr>
        <w:t xml:space="preserve">  [STD/DEV]</w:t>
      </w:r>
      <w:r>
        <w:rPr>
          <w:sz w:val="17"/>
        </w:rPr>
        <w:t xml:space="preserve"> — Phiếu kiểm tra chất lượng NVL | Inspection Report | STD/DEV | Thay thế phiếu báo kiểm trên FAST; nếu cần mẫu tiếng Việt thì DEV mẫu in</w:t>
      </w:r>
    </w:p>
    <w:p>
      <w:pPr>
        <w:pStyle w:val="ListBullet"/>
      </w:pPr>
      <w:r>
        <w:rPr>
          <w:b/>
        </w:rPr>
        <w:t>Biên bản hàng không phù hợp</w:t>
      </w:r>
      <w:r>
        <w:rPr>
          <w:sz w:val="16"/>
        </w:rPr>
        <w:t xml:space="preserve">  [STD/DEV]</w:t>
      </w:r>
      <w:r>
        <w:rPr>
          <w:sz w:val="17"/>
        </w:rPr>
        <w:t xml:space="preserve"> — Biên bản hàng không phù hợp | Non Conformance Report | STD/DEV | Gửi khiếu nại nhà cung cấp</w:t>
      </w:r>
    </w:p>
    <w:p>
      <w:pPr>
        <w:pStyle w:val="Heading1"/>
      </w:pPr>
      <w:r>
        <w:t>4. Ước lượng chi phí làm thêm</w:t>
      </w:r>
    </w:p>
    <w:p>
      <w:r>
        <w:t>Chưa có đơn giá ngày công trong hồ sơ Blueprint, nên bảng dưới là ước lượng theo giả định — cần FPT xác nhận đơn giá và danh mục chính thức trước khi dùng để đàm phán.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</w:rPr>
              <w:t>Kịch bản</w:t>
            </w:r>
          </w:p>
        </w:tc>
        <w:tc>
          <w:tcPr>
            <w:tcW w:type="dxa" w:w="2556"/>
          </w:tcPr>
          <w:p>
            <w:r>
              <w:rPr>
                <w:b/>
              </w:rPr>
              <w:t>Ngày công</w:t>
            </w:r>
          </w:p>
        </w:tc>
        <w:tc>
          <w:tcPr>
            <w:tcW w:type="dxa" w:w="2556"/>
          </w:tcPr>
          <w:p>
            <w:r>
              <w:rPr>
                <w:b/>
              </w:rPr>
              <w:t>1,5 triệu/ngày</w:t>
            </w:r>
          </w:p>
        </w:tc>
        <w:tc>
          <w:tcPr>
            <w:tcW w:type="dxa" w:w="2556"/>
          </w:tcPr>
          <w:p>
            <w:r>
              <w:rPr>
                <w:b/>
              </w:rPr>
              <w:t>3,0 triệu/ngày</w:t>
            </w:r>
          </w:p>
        </w:tc>
      </w:tr>
      <w:tr>
        <w:tc>
          <w:tcPr>
            <w:tcW w:type="dxa" w:w="2556"/>
          </w:tcPr>
          <w:p>
            <w:r>
              <w:t>Thấp (mỗi hạng mục ở mức tối thiểu)</w:t>
            </w:r>
          </w:p>
        </w:tc>
        <w:tc>
          <w:tcPr>
            <w:tcW w:type="dxa" w:w="2556"/>
          </w:tcPr>
          <w:p>
            <w:r>
              <w:t>170</w:t>
            </w:r>
          </w:p>
        </w:tc>
        <w:tc>
          <w:tcPr>
            <w:tcW w:type="dxa" w:w="2556"/>
          </w:tcPr>
          <w:p>
            <w:r>
              <w:t>255 triệu</w:t>
            </w:r>
          </w:p>
        </w:tc>
        <w:tc>
          <w:tcPr>
            <w:tcW w:type="dxa" w:w="2556"/>
          </w:tcPr>
          <w:p>
            <w:r>
              <w:t>510 triệu</w:t>
            </w:r>
          </w:p>
        </w:tc>
      </w:tr>
      <w:tr>
        <w:tc>
          <w:tcPr>
            <w:tcW w:type="dxa" w:w="2556"/>
          </w:tcPr>
          <w:p>
            <w:r>
              <w:t>Cao (mọi hạng mục đều phải làm)</w:t>
            </w:r>
          </w:p>
        </w:tc>
        <w:tc>
          <w:tcPr>
            <w:tcW w:type="dxa" w:w="2556"/>
          </w:tcPr>
          <w:p>
            <w:r>
              <w:t>476</w:t>
            </w:r>
          </w:p>
        </w:tc>
        <w:tc>
          <w:tcPr>
            <w:tcW w:type="dxa" w:w="2556"/>
          </w:tcPr>
          <w:p>
            <w:r>
              <w:t>714 triệu</w:t>
            </w:r>
          </w:p>
        </w:tc>
        <w:tc>
          <w:tcPr>
            <w:tcW w:type="dxa" w:w="2556"/>
          </w:tcPr>
          <w:p>
            <w:r>
              <w:t>1428 triệu</w:t>
            </w:r>
          </w:p>
        </w:tc>
      </w:tr>
    </w:tbl>
    <w:p>
      <w:r>
        <w:t>Ghi chú: ước lượng theo nhóm công việc — báo cáo/chứng từ in 1–3 ngày công; trường + logic 2–4; workflow phê duyệt 3–6; nhãn in 1–2; tích hợp hệ thống ngoài 5–15; dashboard 4–8. Chưa gồm: 103 dòng WKA (làm tay), chi phí license, chuyển đổi dữ liệu, đào tạo.</w:t>
      </w:r>
    </w:p>
    <w:p>
      <w:pPr>
        <w:pStyle w:val="Heading1"/>
      </w:pPr>
      <w:r>
        <w:t>5. Cảnh báo cần lưu ý</w:t>
      </w:r>
    </w:p>
    <w:p>
      <w:pPr>
        <w:pStyle w:val="ListBullet"/>
      </w:pPr>
      <w:r>
        <w:t>Không có danh mục DEV tập trung kèm ước lượng ngày công/đơn giá trong cả 6 tài liệu — đây là lỗ hổng lớn nhất khi thương lượng.</w:t>
      </w:r>
    </w:p>
    <w:p>
      <w:pPr>
        <w:pStyle w:val="ListBullet"/>
      </w:pPr>
      <w:r>
        <w:t>Tài liệu tự khai là bản nháp (Ngày phát hành để trống, Trạng thái “Đang soạn thảo – Working document”, mục 0.4 Phê duyệt trống chữ ký ở cả 6 file).</w:t>
      </w:r>
    </w:p>
    <w:p>
      <w:pPr>
        <w:pStyle w:val="ListBullet"/>
      </w:pPr>
      <w:r>
        <w:t>Nhãn hỗn hợp 60/97 hạng mục: nhiều hạng mục có thể chỉ cần cấu hình, nhưng nếu FPT kết luận “phải lập trình” thì phát sinh tiền.</w:t>
      </w:r>
    </w:p>
    <w:p>
      <w:pPr>
        <w:pStyle w:val="ListBullet"/>
      </w:pPr>
      <w:r>
        <w:t>Không tài liệu nào có chương “Ngoài phạm vi” — phải bổ sung trước khi chốt phạm vi.</w:t>
      </w:r>
    </w:p>
    <w:sectPr w:rsidR="00FC693F" w:rsidRPr="0006063C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