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40"/>
        <w:jc w:val="center"/>
      </w:pPr>
      <w:r>
        <w:rPr>
          <w:rFonts w:ascii="Times New Roman" w:hAnsi="Times New Roman" w:eastAsia="Times New Roman"/>
          <w:b/>
          <w:i w:val="0"/>
          <w:sz w:val="32"/>
        </w:rPr>
        <w:t>NGUỒN GỐC SỐ LIỆU</w:t>
      </w:r>
    </w:p>
    <w:p>
      <w:pPr>
        <w:spacing w:before="0" w:after="40"/>
        <w:jc w:val="center"/>
      </w:pPr>
      <w:r>
        <w:rPr>
          <w:rFonts w:ascii="Times New Roman" w:hAnsi="Times New Roman" w:eastAsia="Times New Roman"/>
          <w:b/>
          <w:i w:val="0"/>
          <w:sz w:val="26"/>
        </w:rPr>
        <w:t>Khối lượng giao dịch thực tế (Sizing hệ thống) — Dự án ERP Microsoft Dynamics 365 Business Central</w:t>
      </w:r>
    </w:p>
    <w:p>
      <w:pPr>
        <w:spacing w:before="0" w:after="240"/>
        <w:jc w:val="center"/>
      </w:pPr>
      <w:r>
        <w:rPr>
          <w:rFonts w:ascii="Times New Roman" w:hAnsi="Times New Roman" w:eastAsia="Times New Roman"/>
          <w:b w:val="0"/>
          <w:i w:val="0"/>
          <w:color w:val="5B6B7B"/>
          <w:sz w:val="22"/>
        </w:rPr>
        <w:t>Công ty TNHH SX TM Hóa Keo Bình Thạnh (BTCHEM) · Khảo sát 06–07/2026 · Báo cáo phát hành 07/07/2026</w:t>
      </w:r>
    </w:p>
    <w:p>
      <w:pPr>
        <w:spacing w:before="120" w:after="80"/>
      </w:pPr>
      <w:r>
        <w:rPr>
          <w:rFonts w:ascii="Times New Roman" w:hAnsi="Times New Roman" w:eastAsia="Times New Roman"/>
          <w:b/>
          <w:i w:val="0"/>
          <w:sz w:val="26"/>
        </w:rPr>
        <w:t>1. KẾT LUẬN</w:t>
      </w:r>
    </w:p>
    <w:p>
      <w:r>
        <w:rPr>
          <w:rFonts w:ascii="Times New Roman" w:hAnsi="Times New Roman" w:eastAsia="Times New Roman"/>
          <w:b w:val="0"/>
          <w:i w:val="0"/>
          <w:sz w:val="24"/>
        </w:rPr>
        <w:t xml:space="preserve">Toàn bộ số liệu khối lượng giao dịch thực tế (báo giá bán, đơn hàng bán, phiếu xuất bán, hóa đơn bán, đơn mua hàng, hóa đơn mua, lệnh sản xuất, phiếu xuất NVL, phiếu nhập thành phẩm, số dòng/chứng từ, mùa vụ, thời gian lưu trữ) nằm trong </w:t>
      </w:r>
      <w:r>
        <w:rPr>
          <w:rFonts w:ascii="Times New Roman" w:hAnsi="Times New Roman" w:eastAsia="Times New Roman"/>
          <w:b/>
          <w:i w:val="0"/>
          <w:sz w:val="24"/>
        </w:rPr>
        <w:t>câu trả lời khảo sát của Phòng Kế Toán</w:t>
      </w:r>
      <w:r>
        <w:rPr>
          <w:rFonts w:ascii="Times New Roman" w:hAnsi="Times New Roman" w:eastAsia="Times New Roman"/>
          <w:b w:val="0"/>
          <w:i w:val="0"/>
          <w:sz w:val="24"/>
        </w:rPr>
        <w:t xml:space="preserve">, file </w:t>
      </w:r>
      <w:r>
        <w:rPr>
          <w:rFonts w:ascii="Times New Roman" w:hAnsi="Times New Roman" w:eastAsia="Times New Roman"/>
          <w:b/>
          <w:i w:val="0"/>
          <w:sz w:val="24"/>
        </w:rPr>
        <w:t>CAU 6.xlsx</w:t>
      </w:r>
      <w:r>
        <w:rPr>
          <w:rFonts w:ascii="Times New Roman" w:hAnsi="Times New Roman" w:eastAsia="Times New Roman"/>
          <w:b w:val="0"/>
          <w:i w:val="0"/>
          <w:sz w:val="24"/>
        </w:rPr>
        <w:t xml:space="preserve"> — sheet </w:t>
      </w:r>
      <w:r>
        <w:rPr>
          <w:rFonts w:ascii="Times New Roman" w:hAnsi="Times New Roman" w:eastAsia="Times New Roman"/>
          <w:b/>
          <w:i w:val="0"/>
          <w:sz w:val="24"/>
        </w:rPr>
        <w:t>“A. Tổng quan DN &amp; Phạm vi”</w:t>
      </w:r>
      <w:r>
        <w:rPr>
          <w:rFonts w:ascii="Times New Roman" w:hAnsi="Times New Roman" w:eastAsia="Times New Roman"/>
          <w:b w:val="0"/>
          <w:i w:val="0"/>
          <w:sz w:val="24"/>
        </w:rPr>
        <w:t xml:space="preserve">, nhóm câu hỏi </w:t>
      </w:r>
      <w:r>
        <w:rPr>
          <w:rFonts w:ascii="Times New Roman" w:hAnsi="Times New Roman" w:eastAsia="Times New Roman"/>
          <w:b/>
          <w:i w:val="0"/>
          <w:sz w:val="24"/>
        </w:rPr>
        <w:t>A2. Khối lượng hoạt động</w:t>
      </w:r>
      <w:r>
        <w:rPr>
          <w:rFonts w:ascii="Times New Roman" w:hAnsi="Times New Roman" w:eastAsia="Times New Roman"/>
          <w:b w:val="0"/>
          <w:i w:val="0"/>
          <w:sz w:val="24"/>
        </w:rPr>
        <w:t xml:space="preserve"> (nhóm “Khối lượng giao dịch”, STT câu 11 → 23), tại </w:t>
      </w:r>
      <w:r>
        <w:rPr>
          <w:rFonts w:ascii="Times New Roman" w:hAnsi="Times New Roman" w:eastAsia="Times New Roman"/>
          <w:b/>
          <w:i w:val="0"/>
          <w:sz w:val="24"/>
        </w:rPr>
        <w:t>cột “Câu trả lời”</w:t>
      </w:r>
      <w:r>
        <w:rPr>
          <w:rFonts w:ascii="Times New Roman" w:hAnsi="Times New Roman" w:eastAsia="Times New Roman"/>
          <w:b w:val="0"/>
          <w:i w:val="0"/>
          <w:sz w:val="24"/>
        </w:rPr>
        <w:t xml:space="preserve"> (số liệu thực tế do Phòng Kế Toán nhập). Cột “Câu trả lời mẫu” chính là ước tính ban đầu của dự án (bộ câu hỏi chuẩn hóa).</w:t>
      </w:r>
    </w:p>
    <w:p>
      <w:r>
        <w:rPr>
          <w:rFonts w:ascii="Times New Roman" w:hAnsi="Times New Roman" w:eastAsia="Times New Roman"/>
          <w:b w:val="0"/>
          <w:i/>
          <w:sz w:val="24"/>
        </w:rPr>
        <w:t>Báo cáo tổng hợp (Mục 1.4) ghi chú “Số liệu do Phòng Kế Toán xác nhận thực tế, cao hơn đáng kể so với ước lượng ban đầu” — khớp đúng nguồn nêu trên.</w:t>
      </w:r>
    </w:p>
    <w:p>
      <w:pPr>
        <w:spacing w:before="200" w:after="80"/>
      </w:pPr>
      <w:r>
        <w:rPr>
          <w:rFonts w:ascii="Times New Roman" w:hAnsi="Times New Roman" w:eastAsia="Times New Roman"/>
          <w:b/>
          <w:i w:val="0"/>
          <w:sz w:val="26"/>
        </w:rPr>
        <w:t>2. ĐỐI CHIẾU CHI TIẾT: CHỈ TIÊU → CÂU HỎI → CÂU TRẢ LỜI</w:t>
      </w:r>
    </w:p>
    <w:tbl>
      <w:tblPr>
        <w:tblStyle w:val="TableGrid"/>
        <w:tblW w:type="auto" w:w="0"/>
        <w:jc w:val="center"/>
        <w:tblLook w:firstColumn="1" w:firstRow="1" w:lastColumn="0" w:lastRow="0" w:noHBand="0" w:noVBand="1" w:val="04A0"/>
      </w:tblPr>
      <w:tblGrid>
        <w:gridCol w:w="2160"/>
        <w:gridCol w:w="2160"/>
        <w:gridCol w:w="2160"/>
        <w:gridCol w:w="2160"/>
      </w:tblGrid>
      <w:tr>
        <w:tc>
          <w:tcPr>
            <w:tcW w:type="dxa" w:w="907"/>
            <w:shd w:val="clear" w:color="auto" w:fill="0F4C81"/>
          </w:tcPr>
          <w:p>
            <w:pPr>
              <w:spacing w:after="40"/>
            </w:pPr>
            <w:r>
              <w:rPr>
                <w:rFonts w:ascii="Times New Roman" w:hAnsi="Times New Roman" w:eastAsia="Times New Roman"/>
                <w:b/>
                <w:i w:val="0"/>
                <w:color w:val="FFFFFF"/>
                <w:sz w:val="22"/>
              </w:rPr>
              <w:t>STT câu</w:t>
            </w:r>
          </w:p>
        </w:tc>
        <w:tc>
          <w:tcPr>
            <w:tcW w:type="dxa" w:w="2041"/>
            <w:shd w:val="clear" w:color="auto" w:fill="0F4C81"/>
          </w:tcPr>
          <w:p>
            <w:pPr>
              <w:spacing w:after="40"/>
            </w:pPr>
            <w:r>
              <w:rPr>
                <w:rFonts w:ascii="Times New Roman" w:hAnsi="Times New Roman" w:eastAsia="Times New Roman"/>
                <w:b/>
                <w:i w:val="0"/>
                <w:color w:val="FFFFFF"/>
                <w:sz w:val="22"/>
              </w:rPr>
              <w:t>Chỉ tiêu</w:t>
            </w:r>
          </w:p>
        </w:tc>
        <w:tc>
          <w:tcPr>
            <w:tcW w:type="dxa" w:w="2948"/>
            <w:shd w:val="clear" w:color="auto" w:fill="0F4C81"/>
          </w:tcPr>
          <w:p>
            <w:pPr>
              <w:spacing w:after="40"/>
            </w:pPr>
            <w:r>
              <w:rPr>
                <w:rFonts w:ascii="Times New Roman" w:hAnsi="Times New Roman" w:eastAsia="Times New Roman"/>
                <w:b/>
                <w:i w:val="0"/>
                <w:color w:val="FFFFFF"/>
                <w:sz w:val="22"/>
              </w:rPr>
              <w:t>Thực tế xác nhận (cột “Câu trả lời”)</w:t>
            </w:r>
          </w:p>
        </w:tc>
        <w:tc>
          <w:tcPr>
            <w:tcW w:type="dxa" w:w="3742"/>
            <w:shd w:val="clear" w:color="auto" w:fill="0F4C81"/>
          </w:tcPr>
          <w:p>
            <w:pPr>
              <w:spacing w:after="40"/>
            </w:pPr>
            <w:r>
              <w:rPr>
                <w:rFonts w:ascii="Times New Roman" w:hAnsi="Times New Roman" w:eastAsia="Times New Roman"/>
                <w:b/>
                <w:i w:val="0"/>
                <w:color w:val="FFFFFF"/>
                <w:sz w:val="22"/>
              </w:rPr>
              <w:t>Ghi chú</w:t>
            </w:r>
          </w:p>
        </w:tc>
      </w:tr>
      <w:tr>
        <w:tc>
          <w:tcPr>
            <w:tcW w:type="dxa" w:w="907"/>
          </w:tcPr>
          <w:p>
            <w:pPr>
              <w:spacing w:after="40"/>
            </w:pPr>
            <w:r>
              <w:rPr>
                <w:rFonts w:ascii="Times New Roman" w:hAnsi="Times New Roman" w:eastAsia="Times New Roman"/>
                <w:b/>
                <w:i w:val="0"/>
                <w:sz w:val="22"/>
              </w:rPr>
              <w:t>11</w:t>
            </w:r>
          </w:p>
        </w:tc>
        <w:tc>
          <w:tcPr>
            <w:tcW w:type="dxa" w:w="2041"/>
          </w:tcPr>
          <w:p>
            <w:pPr>
              <w:spacing w:after="40"/>
            </w:pPr>
            <w:r>
              <w:rPr>
                <w:rFonts w:ascii="Times New Roman" w:hAnsi="Times New Roman" w:eastAsia="Times New Roman"/>
                <w:b w:val="0"/>
                <w:i w:val="0"/>
                <w:sz w:val="22"/>
              </w:rPr>
              <w:t>Báo giá bán</w:t>
            </w:r>
          </w:p>
        </w:tc>
        <w:tc>
          <w:tcPr>
            <w:tcW w:type="dxa" w:w="2948"/>
          </w:tcPr>
          <w:p>
            <w:pPr>
              <w:spacing w:after="40"/>
            </w:pPr>
            <w:r>
              <w:rPr>
                <w:rFonts w:ascii="Times New Roman" w:hAnsi="Times New Roman" w:eastAsia="Times New Roman"/>
                <w:b w:val="0"/>
                <w:i w:val="0"/>
                <w:sz w:val="22"/>
              </w:rPr>
              <w:t>5–10 báo giá/ngày (~150–250/tháng)</w:t>
            </w:r>
          </w:p>
        </w:tc>
        <w:tc>
          <w:tcPr>
            <w:tcW w:type="dxa" w:w="3742"/>
          </w:tcPr>
          <w:p>
            <w:pPr>
              <w:spacing w:after="40"/>
            </w:pPr>
            <w:r>
              <w:rPr>
                <w:rFonts w:ascii="Times New Roman" w:hAnsi="Times New Roman" w:eastAsia="Times New Roman"/>
                <w:b w:val="0"/>
                <w:i w:val="0"/>
                <w:sz w:val="22"/>
              </w:rPr>
              <w:t>Khớp với ước tính ban đầu</w:t>
            </w:r>
          </w:p>
        </w:tc>
      </w:tr>
      <w:tr>
        <w:tc>
          <w:tcPr>
            <w:tcW w:type="dxa" w:w="907"/>
            <w:shd w:val="clear" w:color="auto" w:fill="EAF1F8"/>
          </w:tcPr>
          <w:p>
            <w:pPr>
              <w:spacing w:after="40"/>
            </w:pPr>
            <w:r>
              <w:rPr>
                <w:rFonts w:ascii="Times New Roman" w:hAnsi="Times New Roman" w:eastAsia="Times New Roman"/>
                <w:b/>
                <w:i w:val="0"/>
                <w:sz w:val="22"/>
              </w:rPr>
              <w:t>12</w:t>
            </w:r>
          </w:p>
        </w:tc>
        <w:tc>
          <w:tcPr>
            <w:tcW w:type="dxa" w:w="2041"/>
            <w:shd w:val="clear" w:color="auto" w:fill="EAF1F8"/>
          </w:tcPr>
          <w:p>
            <w:pPr>
              <w:spacing w:after="40"/>
            </w:pPr>
            <w:r>
              <w:rPr>
                <w:rFonts w:ascii="Times New Roman" w:hAnsi="Times New Roman" w:eastAsia="Times New Roman"/>
                <w:b w:val="0"/>
                <w:i w:val="0"/>
                <w:sz w:val="22"/>
              </w:rPr>
              <w:t>Đơn hàng bán</w:t>
            </w:r>
          </w:p>
        </w:tc>
        <w:tc>
          <w:tcPr>
            <w:tcW w:type="dxa" w:w="2948"/>
            <w:shd w:val="clear" w:color="auto" w:fill="EAF1F8"/>
          </w:tcPr>
          <w:p>
            <w:pPr>
              <w:spacing w:after="40"/>
            </w:pPr>
            <w:r>
              <w:rPr>
                <w:rFonts w:ascii="Times New Roman" w:hAnsi="Times New Roman" w:eastAsia="Times New Roman"/>
                <w:b w:val="0"/>
                <w:i w:val="0"/>
                <w:sz w:val="22"/>
              </w:rPr>
              <w:t>55–75 đơn/ngày (~1.450–1.700/tháng)</w:t>
            </w:r>
          </w:p>
        </w:tc>
        <w:tc>
          <w:tcPr>
            <w:tcW w:type="dxa" w:w="3742"/>
            <w:shd w:val="clear" w:color="auto" w:fill="EAF1F8"/>
          </w:tcPr>
          <w:p>
            <w:pPr>
              <w:spacing w:after="40"/>
            </w:pPr>
            <w:r>
              <w:rPr>
                <w:rFonts w:ascii="Times New Roman" w:hAnsi="Times New Roman" w:eastAsia="Times New Roman"/>
                <w:b w:val="0"/>
                <w:i w:val="0"/>
                <w:sz w:val="22"/>
              </w:rPr>
              <w:t>Cao hơn nhiều so với ước tính ban đầu (15–25/ngày). Nguyên văn: “55 -&gt;75 đơn hàng/ngày. 1.450 đền 1.700 đơn/tháng”</w:t>
            </w:r>
          </w:p>
        </w:tc>
      </w:tr>
      <w:tr>
        <w:tc>
          <w:tcPr>
            <w:tcW w:type="dxa" w:w="907"/>
          </w:tcPr>
          <w:p>
            <w:pPr>
              <w:spacing w:after="40"/>
            </w:pPr>
            <w:r>
              <w:rPr>
                <w:rFonts w:ascii="Times New Roman" w:hAnsi="Times New Roman" w:eastAsia="Times New Roman"/>
                <w:b/>
                <w:i w:val="0"/>
                <w:sz w:val="22"/>
              </w:rPr>
              <w:t>13</w:t>
            </w:r>
          </w:p>
        </w:tc>
        <w:tc>
          <w:tcPr>
            <w:tcW w:type="dxa" w:w="2041"/>
          </w:tcPr>
          <w:p>
            <w:pPr>
              <w:spacing w:after="40"/>
            </w:pPr>
            <w:r>
              <w:rPr>
                <w:rFonts w:ascii="Times New Roman" w:hAnsi="Times New Roman" w:eastAsia="Times New Roman"/>
                <w:b w:val="0"/>
                <w:i w:val="0"/>
                <w:sz w:val="22"/>
              </w:rPr>
              <w:t>Phiếu xuất bán hàng</w:t>
            </w:r>
          </w:p>
        </w:tc>
        <w:tc>
          <w:tcPr>
            <w:tcW w:type="dxa" w:w="2948"/>
          </w:tcPr>
          <w:p>
            <w:pPr>
              <w:spacing w:after="40"/>
            </w:pPr>
            <w:r>
              <w:rPr>
                <w:rFonts w:ascii="Times New Roman" w:hAnsi="Times New Roman" w:eastAsia="Times New Roman"/>
                <w:b w:val="0"/>
                <w:i w:val="0"/>
                <w:sz w:val="22"/>
              </w:rPr>
              <w:t>~106 phiếu/ngày (~2.536/tháng)</w:t>
            </w:r>
          </w:p>
        </w:tc>
        <w:tc>
          <w:tcPr>
            <w:tcW w:type="dxa" w:w="3742"/>
          </w:tcPr>
          <w:p>
            <w:pPr>
              <w:spacing w:after="40"/>
            </w:pPr>
            <w:r>
              <w:rPr>
                <w:rFonts w:ascii="Times New Roman" w:hAnsi="Times New Roman" w:eastAsia="Times New Roman"/>
                <w:b w:val="0"/>
                <w:i w:val="0"/>
                <w:sz w:val="22"/>
              </w:rPr>
              <w:t>Xuất theo từng kho — CHƯA khớp 1:1 với đơn hàng PKD (điểm đau đối chiếu). Nguyên văn: “Phiếu xuất bán hàng phát sinh số lượng lớn (106 phiếu/ngày, khoảng 2.536 phiếu/tháng). Hiện tại việc xuất bán được thực hiện theo từng kho, chưa xuất bán theo đơn hàng từ phòng Kinh doanh. Vì vậy số lượng xuất bán kho có thể không khớp với số lượng trên đơn hàng, gây khó khăn trong việc đối chiếu đơn hàng – phiếu xuất – hóa đơn”</w:t>
            </w:r>
          </w:p>
        </w:tc>
      </w:tr>
      <w:tr>
        <w:tc>
          <w:tcPr>
            <w:tcW w:type="dxa" w:w="907"/>
            <w:shd w:val="clear" w:color="auto" w:fill="EAF1F8"/>
          </w:tcPr>
          <w:p>
            <w:pPr>
              <w:spacing w:after="40"/>
            </w:pPr>
            <w:r>
              <w:rPr>
                <w:rFonts w:ascii="Times New Roman" w:hAnsi="Times New Roman" w:eastAsia="Times New Roman"/>
                <w:b/>
                <w:i w:val="0"/>
                <w:sz w:val="22"/>
              </w:rPr>
              <w:t>14</w:t>
            </w:r>
          </w:p>
        </w:tc>
        <w:tc>
          <w:tcPr>
            <w:tcW w:type="dxa" w:w="2041"/>
            <w:shd w:val="clear" w:color="auto" w:fill="EAF1F8"/>
          </w:tcPr>
          <w:p>
            <w:pPr>
              <w:spacing w:after="40"/>
            </w:pPr>
            <w:r>
              <w:rPr>
                <w:rFonts w:ascii="Times New Roman" w:hAnsi="Times New Roman" w:eastAsia="Times New Roman"/>
                <w:b w:val="0"/>
                <w:i w:val="0"/>
                <w:sz w:val="22"/>
              </w:rPr>
              <w:t>Hóa đơn bán</w:t>
            </w:r>
          </w:p>
        </w:tc>
        <w:tc>
          <w:tcPr>
            <w:tcW w:type="dxa" w:w="2948"/>
            <w:shd w:val="clear" w:color="auto" w:fill="EAF1F8"/>
          </w:tcPr>
          <w:p>
            <w:pPr>
              <w:spacing w:after="40"/>
            </w:pPr>
            <w:r>
              <w:rPr>
                <w:rFonts w:ascii="Times New Roman" w:hAnsi="Times New Roman" w:eastAsia="Times New Roman"/>
                <w:b w:val="0"/>
                <w:i w:val="0"/>
                <w:sz w:val="22"/>
              </w:rPr>
              <w:t>50–65 hóa đơn/ngày (~1.250–1.500/tháng)</w:t>
            </w:r>
          </w:p>
        </w:tc>
        <w:tc>
          <w:tcPr>
            <w:tcW w:type="dxa" w:w="3742"/>
            <w:shd w:val="clear" w:color="auto" w:fill="EAF1F8"/>
          </w:tcPr>
          <w:p>
            <w:pPr>
              <w:spacing w:after="40"/>
            </w:pPr>
            <w:r>
              <w:rPr>
                <w:rFonts w:ascii="Times New Roman" w:hAnsi="Times New Roman" w:eastAsia="Times New Roman"/>
                <w:b w:val="0"/>
                <w:i w:val="0"/>
                <w:sz w:val="22"/>
              </w:rPr>
              <w:t>Cao hơn ước tính ban đầu (15–25/ngày)</w:t>
            </w:r>
          </w:p>
        </w:tc>
      </w:tr>
      <w:tr>
        <w:tc>
          <w:tcPr>
            <w:tcW w:type="dxa" w:w="907"/>
          </w:tcPr>
          <w:p>
            <w:pPr>
              <w:spacing w:after="40"/>
            </w:pPr>
            <w:r>
              <w:rPr>
                <w:rFonts w:ascii="Times New Roman" w:hAnsi="Times New Roman" w:eastAsia="Times New Roman"/>
                <w:b/>
                <w:i w:val="0"/>
                <w:sz w:val="22"/>
              </w:rPr>
              <w:t>15</w:t>
            </w:r>
          </w:p>
        </w:tc>
        <w:tc>
          <w:tcPr>
            <w:tcW w:type="dxa" w:w="2041"/>
          </w:tcPr>
          <w:p>
            <w:pPr>
              <w:spacing w:after="40"/>
            </w:pPr>
            <w:r>
              <w:rPr>
                <w:rFonts w:ascii="Times New Roman" w:hAnsi="Times New Roman" w:eastAsia="Times New Roman"/>
                <w:b w:val="0"/>
                <w:i w:val="0"/>
                <w:sz w:val="22"/>
              </w:rPr>
              <w:t>Đơn mua hàng</w:t>
            </w:r>
          </w:p>
        </w:tc>
        <w:tc>
          <w:tcPr>
            <w:tcW w:type="dxa" w:w="2948"/>
          </w:tcPr>
          <w:p>
            <w:pPr>
              <w:spacing w:after="40"/>
            </w:pPr>
            <w:r>
              <w:rPr>
                <w:rFonts w:ascii="Times New Roman" w:hAnsi="Times New Roman" w:eastAsia="Times New Roman"/>
                <w:b w:val="0"/>
                <w:i w:val="0"/>
                <w:sz w:val="22"/>
              </w:rPr>
              <w:t>3–10 đơn/ngày (~150–250/tháng)</w:t>
            </w:r>
          </w:p>
        </w:tc>
        <w:tc>
          <w:tcPr>
            <w:tcW w:type="dxa" w:w="3742"/>
          </w:tcPr>
          <w:p>
            <w:pPr>
              <w:spacing w:after="40"/>
            </w:pPr>
            <w:r>
              <w:rPr>
                <w:rFonts w:ascii="Times New Roman" w:hAnsi="Times New Roman" w:eastAsia="Times New Roman"/>
                <w:b w:val="0"/>
                <w:i w:val="0"/>
                <w:sz w:val="22"/>
              </w:rPr>
              <w:t>Khớp với ước tính ban đầu (5–10/ngày)</w:t>
            </w:r>
          </w:p>
        </w:tc>
      </w:tr>
      <w:tr>
        <w:tc>
          <w:tcPr>
            <w:tcW w:type="dxa" w:w="907"/>
            <w:shd w:val="clear" w:color="auto" w:fill="EAF1F8"/>
          </w:tcPr>
          <w:p>
            <w:pPr>
              <w:spacing w:after="40"/>
            </w:pPr>
            <w:r>
              <w:rPr>
                <w:rFonts w:ascii="Times New Roman" w:hAnsi="Times New Roman" w:eastAsia="Times New Roman"/>
                <w:b/>
                <w:i w:val="0"/>
                <w:sz w:val="22"/>
              </w:rPr>
              <w:t>16</w:t>
            </w:r>
          </w:p>
        </w:tc>
        <w:tc>
          <w:tcPr>
            <w:tcW w:type="dxa" w:w="2041"/>
            <w:shd w:val="clear" w:color="auto" w:fill="EAF1F8"/>
          </w:tcPr>
          <w:p>
            <w:pPr>
              <w:spacing w:after="40"/>
            </w:pPr>
            <w:r>
              <w:rPr>
                <w:rFonts w:ascii="Times New Roman" w:hAnsi="Times New Roman" w:eastAsia="Times New Roman"/>
                <w:b w:val="0"/>
                <w:i w:val="0"/>
                <w:sz w:val="22"/>
              </w:rPr>
              <w:t>Phiếu nhập hàng</w:t>
            </w:r>
          </w:p>
        </w:tc>
        <w:tc>
          <w:tcPr>
            <w:tcW w:type="dxa" w:w="2948"/>
            <w:shd w:val="clear" w:color="auto" w:fill="EAF1F8"/>
          </w:tcPr>
          <w:p>
            <w:pPr>
              <w:spacing w:after="40"/>
            </w:pPr>
            <w:r>
              <w:rPr>
                <w:rFonts w:ascii="Times New Roman" w:hAnsi="Times New Roman" w:eastAsia="Times New Roman"/>
                <w:b w:val="0"/>
                <w:i w:val="0"/>
                <w:sz w:val="22"/>
              </w:rPr>
              <w:t>Không có số liệu (để trống)</w:t>
            </w:r>
          </w:p>
        </w:tc>
        <w:tc>
          <w:tcPr>
            <w:tcW w:type="dxa" w:w="3742"/>
            <w:shd w:val="clear" w:color="auto" w:fill="EAF1F8"/>
          </w:tcPr>
          <w:p>
            <w:pPr>
              <w:spacing w:after="40"/>
            </w:pPr>
            <w:r>
              <w:rPr>
                <w:rFonts w:ascii="Times New Roman" w:hAnsi="Times New Roman" w:eastAsia="Times New Roman"/>
                <w:b w:val="0"/>
                <w:i w:val="0"/>
                <w:sz w:val="22"/>
              </w:rPr>
              <w:t>Phòng Kế Toán chưa trả lời câu này</w:t>
            </w:r>
          </w:p>
        </w:tc>
      </w:tr>
      <w:tr>
        <w:tc>
          <w:tcPr>
            <w:tcW w:type="dxa" w:w="907"/>
          </w:tcPr>
          <w:p>
            <w:pPr>
              <w:spacing w:after="40"/>
            </w:pPr>
            <w:r>
              <w:rPr>
                <w:rFonts w:ascii="Times New Roman" w:hAnsi="Times New Roman" w:eastAsia="Times New Roman"/>
                <w:b/>
                <w:i w:val="0"/>
                <w:sz w:val="22"/>
              </w:rPr>
              <w:t>17</w:t>
            </w:r>
          </w:p>
        </w:tc>
        <w:tc>
          <w:tcPr>
            <w:tcW w:type="dxa" w:w="2041"/>
          </w:tcPr>
          <w:p>
            <w:pPr>
              <w:spacing w:after="40"/>
            </w:pPr>
            <w:r>
              <w:rPr>
                <w:rFonts w:ascii="Times New Roman" w:hAnsi="Times New Roman" w:eastAsia="Times New Roman"/>
                <w:b w:val="0"/>
                <w:i w:val="0"/>
                <w:sz w:val="22"/>
              </w:rPr>
              <w:t>Hóa đơn mua</w:t>
            </w:r>
          </w:p>
        </w:tc>
        <w:tc>
          <w:tcPr>
            <w:tcW w:type="dxa" w:w="2948"/>
          </w:tcPr>
          <w:p>
            <w:pPr>
              <w:spacing w:after="40"/>
            </w:pPr>
            <w:r>
              <w:rPr>
                <w:rFonts w:ascii="Times New Roman" w:hAnsi="Times New Roman" w:eastAsia="Times New Roman"/>
                <w:b w:val="0"/>
                <w:i w:val="0"/>
                <w:sz w:val="22"/>
              </w:rPr>
              <w:t>15–20 hóa đơn/ngày (~450–500/tháng)</w:t>
            </w:r>
          </w:p>
        </w:tc>
        <w:tc>
          <w:tcPr>
            <w:tcW w:type="dxa" w:w="3742"/>
          </w:tcPr>
          <w:p>
            <w:pPr>
              <w:spacing w:after="40"/>
            </w:pPr>
            <w:r>
              <w:rPr>
                <w:rFonts w:ascii="Times New Roman" w:hAnsi="Times New Roman" w:eastAsia="Times New Roman"/>
                <w:b w:val="0"/>
                <w:i w:val="0"/>
                <w:sz w:val="22"/>
              </w:rPr>
              <w:t>Cao hơn ước tính ban đầu (5–10/ngày)</w:t>
            </w:r>
          </w:p>
        </w:tc>
      </w:tr>
      <w:tr>
        <w:tc>
          <w:tcPr>
            <w:tcW w:type="dxa" w:w="907"/>
            <w:shd w:val="clear" w:color="auto" w:fill="EAF1F8"/>
          </w:tcPr>
          <w:p>
            <w:pPr>
              <w:spacing w:after="40"/>
            </w:pPr>
            <w:r>
              <w:rPr>
                <w:rFonts w:ascii="Times New Roman" w:hAnsi="Times New Roman" w:eastAsia="Times New Roman"/>
                <w:b/>
                <w:i w:val="0"/>
                <w:sz w:val="22"/>
              </w:rPr>
              <w:t>18</w:t>
            </w:r>
          </w:p>
        </w:tc>
        <w:tc>
          <w:tcPr>
            <w:tcW w:type="dxa" w:w="2041"/>
            <w:shd w:val="clear" w:color="auto" w:fill="EAF1F8"/>
          </w:tcPr>
          <w:p>
            <w:pPr>
              <w:spacing w:after="40"/>
            </w:pPr>
            <w:r>
              <w:rPr>
                <w:rFonts w:ascii="Times New Roman" w:hAnsi="Times New Roman" w:eastAsia="Times New Roman"/>
                <w:b w:val="0"/>
                <w:i w:val="0"/>
                <w:sz w:val="22"/>
              </w:rPr>
              <w:t>Lệnh sản xuất</w:t>
            </w:r>
          </w:p>
        </w:tc>
        <w:tc>
          <w:tcPr>
            <w:tcW w:type="dxa" w:w="2948"/>
            <w:shd w:val="clear" w:color="auto" w:fill="EAF1F8"/>
          </w:tcPr>
          <w:p>
            <w:pPr>
              <w:spacing w:after="40"/>
            </w:pPr>
            <w:r>
              <w:rPr>
                <w:rFonts w:ascii="Times New Roman" w:hAnsi="Times New Roman" w:eastAsia="Times New Roman"/>
                <w:b w:val="0"/>
                <w:i w:val="0"/>
                <w:sz w:val="22"/>
              </w:rPr>
              <w:t>5–10 lệnh/ngày</w:t>
            </w:r>
          </w:p>
        </w:tc>
        <w:tc>
          <w:tcPr>
            <w:tcW w:type="dxa" w:w="3742"/>
            <w:shd w:val="clear" w:color="auto" w:fill="EAF1F8"/>
          </w:tcPr>
          <w:p>
            <w:pPr>
              <w:spacing w:after="40"/>
            </w:pPr>
            <w:r>
              <w:rPr>
                <w:rFonts w:ascii="Times New Roman" w:hAnsi="Times New Roman" w:eastAsia="Times New Roman"/>
                <w:b w:val="0"/>
                <w:i w:val="0"/>
                <w:sz w:val="22"/>
              </w:rPr>
              <w:t>Thấp hơn ước tính ban đầu (10–20/ngày)</w:t>
            </w:r>
          </w:p>
        </w:tc>
      </w:tr>
      <w:tr>
        <w:tc>
          <w:tcPr>
            <w:tcW w:type="dxa" w:w="907"/>
          </w:tcPr>
          <w:p>
            <w:pPr>
              <w:spacing w:after="40"/>
            </w:pPr>
            <w:r>
              <w:rPr>
                <w:rFonts w:ascii="Times New Roman" w:hAnsi="Times New Roman" w:eastAsia="Times New Roman"/>
                <w:b/>
                <w:i w:val="0"/>
                <w:sz w:val="22"/>
              </w:rPr>
              <w:t>19</w:t>
            </w:r>
          </w:p>
        </w:tc>
        <w:tc>
          <w:tcPr>
            <w:tcW w:type="dxa" w:w="2041"/>
          </w:tcPr>
          <w:p>
            <w:pPr>
              <w:spacing w:after="40"/>
            </w:pPr>
            <w:r>
              <w:rPr>
                <w:rFonts w:ascii="Times New Roman" w:hAnsi="Times New Roman" w:eastAsia="Times New Roman"/>
                <w:b w:val="0"/>
                <w:i w:val="0"/>
                <w:sz w:val="22"/>
              </w:rPr>
              <w:t>Phiếu xuất NVL</w:t>
            </w:r>
          </w:p>
        </w:tc>
        <w:tc>
          <w:tcPr>
            <w:tcW w:type="dxa" w:w="2948"/>
          </w:tcPr>
          <w:p>
            <w:pPr>
              <w:spacing w:after="40"/>
            </w:pPr>
            <w:r>
              <w:rPr>
                <w:rFonts w:ascii="Times New Roman" w:hAnsi="Times New Roman" w:eastAsia="Times New Roman"/>
                <w:b w:val="0"/>
                <w:i w:val="0"/>
                <w:sz w:val="22"/>
              </w:rPr>
              <w:t>14–20 phiếu/ngày (~293–350/tháng)</w:t>
            </w:r>
          </w:p>
        </w:tc>
        <w:tc>
          <w:tcPr>
            <w:tcW w:type="dxa" w:w="3742"/>
          </w:tcPr>
          <w:p>
            <w:pPr>
              <w:spacing w:after="40"/>
            </w:pPr>
            <w:r>
              <w:rPr>
                <w:rFonts w:ascii="Times New Roman" w:hAnsi="Times New Roman" w:eastAsia="Times New Roman"/>
                <w:b w:val="0"/>
                <w:i w:val="0"/>
                <w:sz w:val="22"/>
              </w:rPr>
              <w:t>—</w:t>
            </w:r>
          </w:p>
        </w:tc>
      </w:tr>
      <w:tr>
        <w:tc>
          <w:tcPr>
            <w:tcW w:type="dxa" w:w="907"/>
            <w:shd w:val="clear" w:color="auto" w:fill="EAF1F8"/>
          </w:tcPr>
          <w:p>
            <w:pPr>
              <w:spacing w:after="40"/>
            </w:pPr>
            <w:r>
              <w:rPr>
                <w:rFonts w:ascii="Times New Roman" w:hAnsi="Times New Roman" w:eastAsia="Times New Roman"/>
                <w:b/>
                <w:i w:val="0"/>
                <w:sz w:val="22"/>
              </w:rPr>
              <w:t>20</w:t>
            </w:r>
          </w:p>
        </w:tc>
        <w:tc>
          <w:tcPr>
            <w:tcW w:type="dxa" w:w="2041"/>
            <w:shd w:val="clear" w:color="auto" w:fill="EAF1F8"/>
          </w:tcPr>
          <w:p>
            <w:pPr>
              <w:spacing w:after="40"/>
            </w:pPr>
            <w:r>
              <w:rPr>
                <w:rFonts w:ascii="Times New Roman" w:hAnsi="Times New Roman" w:eastAsia="Times New Roman"/>
                <w:b w:val="0"/>
                <w:i w:val="0"/>
                <w:sz w:val="22"/>
              </w:rPr>
              <w:t>Phiếu nhập thành phẩm</w:t>
            </w:r>
          </w:p>
        </w:tc>
        <w:tc>
          <w:tcPr>
            <w:tcW w:type="dxa" w:w="2948"/>
            <w:shd w:val="clear" w:color="auto" w:fill="EAF1F8"/>
          </w:tcPr>
          <w:p>
            <w:pPr>
              <w:spacing w:after="40"/>
            </w:pPr>
            <w:r>
              <w:rPr>
                <w:rFonts w:ascii="Times New Roman" w:hAnsi="Times New Roman" w:eastAsia="Times New Roman"/>
                <w:b w:val="0"/>
                <w:i w:val="0"/>
                <w:sz w:val="22"/>
              </w:rPr>
              <w:t>20–30 phiếu/ngày (~487–550/tháng)</w:t>
            </w:r>
          </w:p>
        </w:tc>
        <w:tc>
          <w:tcPr>
            <w:tcW w:type="dxa" w:w="3742"/>
            <w:shd w:val="clear" w:color="auto" w:fill="EAF1F8"/>
          </w:tcPr>
          <w:p>
            <w:pPr>
              <w:spacing w:after="40"/>
            </w:pPr>
            <w:r>
              <w:rPr>
                <w:rFonts w:ascii="Times New Roman" w:hAnsi="Times New Roman" w:eastAsia="Times New Roman"/>
                <w:b w:val="0"/>
                <w:i w:val="0"/>
                <w:sz w:val="22"/>
              </w:rPr>
              <w:t>—</w:t>
            </w:r>
          </w:p>
        </w:tc>
      </w:tr>
      <w:tr>
        <w:tc>
          <w:tcPr>
            <w:tcW w:type="dxa" w:w="907"/>
          </w:tcPr>
          <w:p>
            <w:pPr>
              <w:spacing w:after="40"/>
            </w:pPr>
            <w:r>
              <w:rPr>
                <w:rFonts w:ascii="Times New Roman" w:hAnsi="Times New Roman" w:eastAsia="Times New Roman"/>
                <w:b/>
                <w:i w:val="0"/>
                <w:sz w:val="22"/>
              </w:rPr>
              <w:t>21</w:t>
            </w:r>
          </w:p>
        </w:tc>
        <w:tc>
          <w:tcPr>
            <w:tcW w:type="dxa" w:w="2041"/>
          </w:tcPr>
          <w:p>
            <w:pPr>
              <w:spacing w:after="40"/>
            </w:pPr>
            <w:r>
              <w:rPr>
                <w:rFonts w:ascii="Times New Roman" w:hAnsi="Times New Roman" w:eastAsia="Times New Roman"/>
                <w:b w:val="0"/>
                <w:i w:val="0"/>
                <w:sz w:val="22"/>
              </w:rPr>
              <w:t>Số dòng/chứng từ</w:t>
            </w:r>
          </w:p>
        </w:tc>
        <w:tc>
          <w:tcPr>
            <w:tcW w:type="dxa" w:w="2948"/>
          </w:tcPr>
          <w:p>
            <w:pPr>
              <w:spacing w:after="40"/>
            </w:pPr>
            <w:r>
              <w:rPr>
                <w:rFonts w:ascii="Times New Roman" w:hAnsi="Times New Roman" w:eastAsia="Times New Roman"/>
                <w:b w:val="0"/>
                <w:i w:val="0"/>
                <w:sz w:val="22"/>
              </w:rPr>
              <w:t>2–50 dòng, tùy loại giao dịch</w:t>
            </w:r>
          </w:p>
        </w:tc>
        <w:tc>
          <w:tcPr>
            <w:tcW w:type="dxa" w:w="3742"/>
          </w:tcPr>
          <w:p>
            <w:pPr>
              <w:spacing w:after="40"/>
            </w:pPr>
            <w:r>
              <w:rPr>
                <w:rFonts w:ascii="Times New Roman" w:hAnsi="Times New Roman" w:eastAsia="Times New Roman"/>
                <w:b w:val="0"/>
                <w:i w:val="0"/>
                <w:sz w:val="22"/>
              </w:rPr>
              <w:t>Biến động lớn hơn ước tính ban đầu (3–10 dòng)</w:t>
            </w:r>
          </w:p>
        </w:tc>
      </w:tr>
      <w:tr>
        <w:tc>
          <w:tcPr>
            <w:tcW w:type="dxa" w:w="907"/>
            <w:shd w:val="clear" w:color="auto" w:fill="EAF1F8"/>
          </w:tcPr>
          <w:p>
            <w:pPr>
              <w:spacing w:after="40"/>
            </w:pPr>
            <w:r>
              <w:rPr>
                <w:rFonts w:ascii="Times New Roman" w:hAnsi="Times New Roman" w:eastAsia="Times New Roman"/>
                <w:b/>
                <w:i w:val="0"/>
                <w:sz w:val="22"/>
              </w:rPr>
              <w:t>22</w:t>
            </w:r>
          </w:p>
        </w:tc>
        <w:tc>
          <w:tcPr>
            <w:tcW w:type="dxa" w:w="2041"/>
            <w:shd w:val="clear" w:color="auto" w:fill="EAF1F8"/>
          </w:tcPr>
          <w:p>
            <w:pPr>
              <w:spacing w:after="40"/>
            </w:pPr>
            <w:r>
              <w:rPr>
                <w:rFonts w:ascii="Times New Roman" w:hAnsi="Times New Roman" w:eastAsia="Times New Roman"/>
                <w:b w:val="0"/>
                <w:i w:val="0"/>
                <w:sz w:val="22"/>
              </w:rPr>
              <w:t>Mùa vụ cao điểm</w:t>
            </w:r>
          </w:p>
        </w:tc>
        <w:tc>
          <w:tcPr>
            <w:tcW w:type="dxa" w:w="2948"/>
            <w:shd w:val="clear" w:color="auto" w:fill="EAF1F8"/>
          </w:tcPr>
          <w:p>
            <w:pPr>
              <w:spacing w:after="40"/>
            </w:pPr>
            <w:r>
              <w:rPr>
                <w:rFonts w:ascii="Times New Roman" w:hAnsi="Times New Roman" w:eastAsia="Times New Roman"/>
                <w:b w:val="0"/>
                <w:i w:val="0"/>
                <w:sz w:val="22"/>
              </w:rPr>
              <w:t>Quý 4 &amp; cận Tết Nguyên đán, tăng 30–50%</w:t>
            </w:r>
          </w:p>
        </w:tc>
        <w:tc>
          <w:tcPr>
            <w:tcW w:type="dxa" w:w="3742"/>
            <w:shd w:val="clear" w:color="auto" w:fill="EAF1F8"/>
          </w:tcPr>
          <w:p>
            <w:pPr>
              <w:spacing w:after="40"/>
            </w:pPr>
            <w:r>
              <w:rPr>
                <w:rFonts w:ascii="Times New Roman" w:hAnsi="Times New Roman" w:eastAsia="Times New Roman"/>
                <w:b w:val="0"/>
                <w:i w:val="0"/>
                <w:sz w:val="22"/>
              </w:rPr>
              <w:t>Khớp với ước tính ban đầu</w:t>
            </w:r>
          </w:p>
        </w:tc>
      </w:tr>
      <w:tr>
        <w:tc>
          <w:tcPr>
            <w:tcW w:type="dxa" w:w="907"/>
          </w:tcPr>
          <w:p>
            <w:pPr>
              <w:spacing w:after="40"/>
            </w:pPr>
            <w:r>
              <w:rPr>
                <w:rFonts w:ascii="Times New Roman" w:hAnsi="Times New Roman" w:eastAsia="Times New Roman"/>
                <w:b/>
                <w:i w:val="0"/>
                <w:sz w:val="22"/>
              </w:rPr>
              <w:t>23</w:t>
            </w:r>
          </w:p>
        </w:tc>
        <w:tc>
          <w:tcPr>
            <w:tcW w:type="dxa" w:w="2041"/>
          </w:tcPr>
          <w:p>
            <w:pPr>
              <w:spacing w:after="40"/>
            </w:pPr>
            <w:r>
              <w:rPr>
                <w:rFonts w:ascii="Times New Roman" w:hAnsi="Times New Roman" w:eastAsia="Times New Roman"/>
                <w:b w:val="0"/>
                <w:i w:val="0"/>
                <w:sz w:val="22"/>
              </w:rPr>
              <w:t>Thời gian lưu trữ dữ liệu</w:t>
            </w:r>
          </w:p>
        </w:tc>
        <w:tc>
          <w:tcPr>
            <w:tcW w:type="dxa" w:w="2948"/>
          </w:tcPr>
          <w:p>
            <w:pPr>
              <w:spacing w:after="40"/>
            </w:pPr>
            <w:r>
              <w:rPr>
                <w:rFonts w:ascii="Times New Roman" w:hAnsi="Times New Roman" w:eastAsia="Times New Roman"/>
                <w:b w:val="0"/>
                <w:i w:val="0"/>
                <w:sz w:val="22"/>
              </w:rPr>
              <w:t>Tối thiểu 10 năm (mốc an toàn đề xuất: 15 năm)</w:t>
            </w:r>
          </w:p>
        </w:tc>
        <w:tc>
          <w:tcPr>
            <w:tcW w:type="dxa" w:w="3742"/>
          </w:tcPr>
          <w:p>
            <w:pPr>
              <w:spacing w:after="40"/>
            </w:pPr>
            <w:r>
              <w:rPr>
                <w:rFonts w:ascii="Times New Roman" w:hAnsi="Times New Roman" w:eastAsia="Times New Roman"/>
                <w:b w:val="0"/>
                <w:i w:val="0"/>
                <w:sz w:val="22"/>
              </w:rPr>
              <w:t>Theo chuẩn kế toán – pháp lý Việt Nam; khác phạm vi migrate giai đoạn 1 (chỉ số dư đầu kỳ, lịch sử 2–3 năm tra cứu trên hệ thống cũ)</w:t>
            </w:r>
          </w:p>
        </w:tc>
      </w:tr>
    </w:tbl>
    <w:p>
      <w:pPr>
        <w:spacing w:before="240" w:after="80"/>
      </w:pPr>
      <w:r>
        <w:rPr>
          <w:rFonts w:ascii="Times New Roman" w:hAnsi="Times New Roman" w:eastAsia="Times New Roman"/>
          <w:b/>
          <w:i w:val="0"/>
          <w:sz w:val="26"/>
        </w:rPr>
        <w:t>3. CÁC FILE CÓ CHỨA SỐ LIỆU NÀY</w:t>
      </w:r>
    </w:p>
    <w:p>
      <w:pPr>
        <w:pStyle w:val="ListBullet"/>
        <w:spacing w:after="40"/>
      </w:pPr>
      <w:r>
        <w:rPr>
          <w:rFonts w:ascii="Times New Roman" w:hAnsi="Times New Roman" w:eastAsia="Times New Roman"/>
          <w:b/>
          <w:i w:val="0"/>
          <w:sz w:val="24"/>
        </w:rPr>
        <w:t xml:space="preserve">(1) Nguồn gốc — file gốc câu trả lời: </w:t>
      </w:r>
      <w:r>
        <w:rPr>
          <w:rFonts w:ascii="Times New Roman" w:hAnsi="Times New Roman" w:eastAsia="Times New Roman"/>
          <w:b w:val="0"/>
          <w:i w:val="0"/>
          <w:sz w:val="24"/>
        </w:rPr>
      </w:r>
      <w:r>
        <w:rPr>
          <w:rFonts w:ascii="Times New Roman" w:hAnsi="Times New Roman" w:eastAsia="Times New Roman"/>
          <w:b/>
          <w:i w:val="0"/>
          <w:sz w:val="24"/>
        </w:rPr>
        <w:t>ERP\CAUHOIKHAOSATMS\Tra Loi\KeToan\CAU 6.xlsx</w:t>
      </w:r>
      <w:r>
        <w:rPr>
          <w:rFonts w:ascii="Times New Roman" w:hAnsi="Times New Roman" w:eastAsia="Times New Roman"/>
          <w:b w:val="0"/>
          <w:i w:val="0"/>
          <w:sz w:val="24"/>
        </w:rPr>
        <w:t xml:space="preserve"> — Sheet “A. Tổng quan DN &amp; Phạm vi”, nhóm A2 (STT 11–23), cột “Câu trả lời”.</w:t>
      </w:r>
    </w:p>
    <w:p>
      <w:pPr>
        <w:pStyle w:val="ListBullet"/>
        <w:spacing w:after="40"/>
      </w:pPr>
      <w:r>
        <w:rPr>
          <w:rFonts w:ascii="Times New Roman" w:hAnsi="Times New Roman" w:eastAsia="Times New Roman"/>
          <w:b/>
          <w:i w:val="0"/>
          <w:sz w:val="24"/>
        </w:rPr>
        <w:t xml:space="preserve">(2) Bản text trích xuất: </w:t>
      </w:r>
      <w:r>
        <w:rPr>
          <w:rFonts w:ascii="Times New Roman" w:hAnsi="Times New Roman" w:eastAsia="Times New Roman"/>
          <w:b w:val="0"/>
          <w:i w:val="0"/>
          <w:sz w:val="24"/>
        </w:rPr>
      </w:r>
      <w:r>
        <w:rPr>
          <w:rFonts w:ascii="Times New Roman" w:hAnsi="Times New Roman" w:eastAsia="Times New Roman"/>
          <w:b/>
          <w:i w:val="0"/>
          <w:sz w:val="24"/>
        </w:rPr>
        <w:t>ERP\CAUHOIKHAOSATMS\_extracted\KeToan.txt</w:t>
      </w:r>
      <w:r>
        <w:rPr>
          <w:rFonts w:ascii="Times New Roman" w:hAnsi="Times New Roman" w:eastAsia="Times New Roman"/>
          <w:b w:val="0"/>
          <w:i w:val="0"/>
          <w:sz w:val="24"/>
        </w:rPr>
        <w:t xml:space="preserve"> — dòng 624–636 (toàn bộ nhóm Khối lượng giao dịch).</w:t>
      </w:r>
    </w:p>
    <w:p>
      <w:pPr>
        <w:pStyle w:val="ListBullet"/>
        <w:spacing w:after="40"/>
      </w:pPr>
      <w:r>
        <w:rPr>
          <w:rFonts w:ascii="Times New Roman" w:hAnsi="Times New Roman" w:eastAsia="Times New Roman"/>
          <w:b/>
          <w:i w:val="0"/>
          <w:sz w:val="24"/>
        </w:rPr>
        <w:t xml:space="preserve">(3) Tổng hợp theo phòng: </w:t>
      </w:r>
      <w:r>
        <w:rPr>
          <w:rFonts w:ascii="Times New Roman" w:hAnsi="Times New Roman" w:eastAsia="Times New Roman"/>
          <w:b w:val="0"/>
          <w:i w:val="0"/>
          <w:sz w:val="24"/>
        </w:rPr>
      </w:r>
      <w:r>
        <w:rPr>
          <w:rFonts w:ascii="Times New Roman" w:hAnsi="Times New Roman" w:eastAsia="Times New Roman"/>
          <w:b/>
          <w:i w:val="0"/>
          <w:sz w:val="24"/>
        </w:rPr>
        <w:t>ERP\CAUHOIKHAOSATMS\Tong hop - Offical\Tong_hop_Tra_loi_theo_Phong.xlsx</w:t>
      </w:r>
      <w:r>
        <w:rPr>
          <w:rFonts w:ascii="Times New Roman" w:hAnsi="Times New Roman" w:eastAsia="Times New Roman"/>
          <w:b w:val="0"/>
          <w:i w:val="0"/>
          <w:sz w:val="24"/>
        </w:rPr>
        <w:t xml:space="preserve"> — sheet “Phòng Kế toán (FIN)”.</w:t>
      </w:r>
    </w:p>
    <w:p>
      <w:pPr>
        <w:pStyle w:val="ListBullet"/>
        <w:spacing w:after="40"/>
      </w:pPr>
      <w:r>
        <w:rPr>
          <w:rFonts w:ascii="Times New Roman" w:hAnsi="Times New Roman" w:eastAsia="Times New Roman"/>
          <w:b/>
          <w:i w:val="0"/>
          <w:sz w:val="24"/>
        </w:rPr>
        <w:t xml:space="preserve">(4) So sánh câu trả lời các phòng: </w:t>
      </w:r>
      <w:r>
        <w:rPr>
          <w:rFonts w:ascii="Times New Roman" w:hAnsi="Times New Roman" w:eastAsia="Times New Roman"/>
          <w:b w:val="0"/>
          <w:i w:val="0"/>
          <w:sz w:val="24"/>
        </w:rPr>
      </w:r>
      <w:r>
        <w:rPr>
          <w:rFonts w:ascii="Times New Roman" w:hAnsi="Times New Roman" w:eastAsia="Times New Roman"/>
          <w:b/>
          <w:i w:val="0"/>
          <w:sz w:val="24"/>
        </w:rPr>
        <w:t>ERP\CAUHOIKHAOSATMS\Tong hop - Offical\Tong_hop_So_sanh_Tra_loi_Cac_Phong.xlsx</w:t>
      </w:r>
      <w:r>
        <w:rPr>
          <w:rFonts w:ascii="Times New Roman" w:hAnsi="Times New Roman" w:eastAsia="Times New Roman"/>
          <w:b w:val="0"/>
          <w:i w:val="0"/>
          <w:sz w:val="24"/>
        </w:rPr>
        <w:t xml:space="preserve"> — sheet “A. Tổng quan DN”.</w:t>
      </w:r>
    </w:p>
    <w:p>
      <w:pPr>
        <w:pStyle w:val="ListBullet"/>
        <w:spacing w:after="40"/>
      </w:pPr>
      <w:r>
        <w:rPr>
          <w:rFonts w:ascii="Times New Roman" w:hAnsi="Times New Roman" w:eastAsia="Times New Roman"/>
          <w:b/>
          <w:i w:val="0"/>
          <w:sz w:val="24"/>
        </w:rPr>
        <w:t xml:space="preserve">(5) Báo cáo tổng hợp dự án: </w:t>
      </w:r>
      <w:r>
        <w:rPr>
          <w:rFonts w:ascii="Times New Roman" w:hAnsi="Times New Roman" w:eastAsia="Times New Roman"/>
          <w:b w:val="0"/>
          <w:i w:val="0"/>
          <w:sz w:val="24"/>
        </w:rPr>
      </w:r>
      <w:r>
        <w:rPr>
          <w:rFonts w:ascii="Times New Roman" w:hAnsi="Times New Roman" w:eastAsia="Times New Roman"/>
          <w:b/>
          <w:i w:val="0"/>
          <w:sz w:val="24"/>
        </w:rPr>
        <w:t>ERP\CAUHOIKHAOSATMS\BAO_CAO_SO_DO_QUY_TRINH_VA_DIEM_DAU_BTCHEM.docx</w:t>
      </w:r>
      <w:r>
        <w:rPr>
          <w:rFonts w:ascii="Times New Roman" w:hAnsi="Times New Roman" w:eastAsia="Times New Roman"/>
          <w:b w:val="0"/>
          <w:i w:val="0"/>
          <w:sz w:val="24"/>
        </w:rPr>
        <w:t xml:space="preserve"> — Mục 1.4 “Khối lượng giao dịch (sizing hệ thống)”. Bản v3 (BAO_CAO_SO_DO_QUY_TRINH_VA_DIEM_DAU_BTCHEM_v3.docx) là nguồn trang HTML tương tác.</w:t>
      </w:r>
    </w:p>
    <w:p>
      <w:pPr>
        <w:spacing w:before="240" w:after="80"/>
      </w:pPr>
      <w:r>
        <w:rPr>
          <w:rFonts w:ascii="Times New Roman" w:hAnsi="Times New Roman" w:eastAsia="Times New Roman"/>
          <w:b/>
          <w:i w:val="0"/>
          <w:sz w:val="26"/>
        </w:rPr>
        <w:t>4. CÁC NƠI KHÔNG CHỨA SỐ LIỆU (TRÁNH NHẦM LẪN)</w:t>
      </w:r>
    </w:p>
    <w:p>
      <w:pPr>
        <w:pStyle w:val="ListBullet"/>
        <w:spacing w:after="40"/>
      </w:pPr>
      <w:r>
        <w:rPr>
          <w:rFonts w:ascii="Times New Roman" w:hAnsi="Times New Roman" w:eastAsia="Times New Roman"/>
          <w:b/>
          <w:i w:val="0"/>
          <w:sz w:val="24"/>
        </w:rPr>
        <w:t xml:space="preserve">PhongBan\02_Phong_KeToan_FIN\Tổng quan DN &amp; Phạm vi.xlsx: </w:t>
      </w:r>
      <w:r>
        <w:rPr>
          <w:rFonts w:ascii="Times New Roman" w:hAnsi="Times New Roman" w:eastAsia="Times New Roman"/>
          <w:b w:val="0"/>
          <w:i w:val="0"/>
          <w:sz w:val="24"/>
        </w:rPr>
      </w:r>
      <w:r>
        <w:rPr>
          <w:rFonts w:ascii="Times New Roman" w:hAnsi="Times New Roman" w:eastAsia="Times New Roman"/>
          <w:b w:val="0"/>
          <w:i w:val="0"/>
          <w:sz w:val="24"/>
        </w:rPr>
        <w:t>cùng nội dung câu hỏi nhưng cột trả lời thực tế ĐỂ TRỐNG (chỉ có ước tính mẫu).</w:t>
      </w:r>
    </w:p>
    <w:p>
      <w:pPr>
        <w:pStyle w:val="ListBullet"/>
        <w:spacing w:after="40"/>
      </w:pPr>
      <w:r>
        <w:rPr>
          <w:rFonts w:ascii="Times New Roman" w:hAnsi="Times New Roman" w:eastAsia="Times New Roman"/>
          <w:b/>
          <w:i w:val="0"/>
          <w:sz w:val="24"/>
        </w:rPr>
        <w:t xml:space="preserve">Câu trả lời của Phòng Kinh Doanh (CAU 6): </w:t>
      </w:r>
      <w:r>
        <w:rPr>
          <w:rFonts w:ascii="Times New Roman" w:hAnsi="Times New Roman" w:eastAsia="Times New Roman"/>
          <w:b w:val="0"/>
          <w:i w:val="0"/>
          <w:sz w:val="24"/>
        </w:rPr>
      </w:r>
      <w:r>
        <w:rPr>
          <w:rFonts w:ascii="Times New Roman" w:hAnsi="Times New Roman" w:eastAsia="Times New Roman"/>
          <w:b w:val="0"/>
          <w:i w:val="0"/>
          <w:sz w:val="24"/>
        </w:rPr>
        <w:t>cùng nhóm câu hỏi nhưng cột trả lời thực tế để trống, chỉ giữ ước tính 15–25 đơn/ngày.</w:t>
      </w:r>
    </w:p>
    <w:p>
      <w:pPr>
        <w:pStyle w:val="ListBullet"/>
        <w:spacing w:after="40"/>
      </w:pPr>
      <w:r>
        <w:rPr>
          <w:rFonts w:ascii="Times New Roman" w:hAnsi="Times New Roman" w:eastAsia="Times New Roman"/>
          <w:b/>
          <w:i w:val="0"/>
          <w:sz w:val="24"/>
        </w:rPr>
        <w:t xml:space="preserve">Obsidian-KhaoSat-ERP\ (vault kiến thức): </w:t>
      </w:r>
      <w:r>
        <w:rPr>
          <w:rFonts w:ascii="Times New Roman" w:hAnsi="Times New Roman" w:eastAsia="Times New Roman"/>
          <w:b w:val="0"/>
          <w:i w:val="0"/>
          <w:sz w:val="24"/>
        </w:rPr>
      </w:r>
      <w:r>
        <w:rPr>
          <w:rFonts w:ascii="Times New Roman" w:hAnsi="Times New Roman" w:eastAsia="Times New Roman"/>
          <w:b w:val="0"/>
          <w:i w:val="0"/>
          <w:sz w:val="24"/>
        </w:rPr>
        <w:t>không chứa số liệu khối lượng giao dịch.</w:t>
      </w:r>
    </w:p>
    <w:p>
      <w:pPr>
        <w:pStyle w:val="ListBullet"/>
        <w:spacing w:after="40"/>
      </w:pPr>
      <w:r>
        <w:rPr>
          <w:rFonts w:ascii="Times New Roman" w:hAnsi="Times New Roman" w:eastAsia="Times New Roman"/>
          <w:b/>
          <w:i w:val="0"/>
          <w:sz w:val="24"/>
        </w:rPr>
        <w:t xml:space="preserve">Bao_cao_Tong_hop_Tra_loi_Khao_sat.md: </w:t>
      </w:r>
      <w:r>
        <w:rPr>
          <w:rFonts w:ascii="Times New Roman" w:hAnsi="Times New Roman" w:eastAsia="Times New Roman"/>
          <w:b w:val="0"/>
          <w:i w:val="0"/>
          <w:sz w:val="24"/>
        </w:rPr>
      </w:r>
      <w:r>
        <w:rPr>
          <w:rFonts w:ascii="Times New Roman" w:hAnsi="Times New Roman" w:eastAsia="Times New Roman"/>
          <w:b w:val="0"/>
          <w:i w:val="0"/>
          <w:sz w:val="24"/>
        </w:rPr>
        <w:t>không chứa số liệu này.</w:t>
      </w:r>
    </w:p>
    <w:p>
      <w:pPr>
        <w:spacing w:before="0" w:after="40"/>
      </w:pPr>
      <w:r>
        <w:rPr>
          <w:rFonts w:ascii="Times New Roman" w:hAnsi="Times New Roman" w:eastAsia="Times New Roman"/>
          <w:b w:val="0"/>
          <w:i w:val="0"/>
          <w:sz w:val="24"/>
        </w:rPr>
      </w:r>
    </w:p>
    <w:p>
      <w:pPr>
        <w:spacing w:before="0" w:after="80"/>
        <w:jc w:val="center"/>
      </w:pPr>
      <w:r>
        <w:rPr>
          <w:rFonts w:ascii="Times New Roman" w:hAnsi="Times New Roman" w:eastAsia="Times New Roman"/>
          <w:b w:val="0"/>
          <w:i w:val="0"/>
          <w:color w:val="5B6B7B"/>
          <w:sz w:val="20"/>
        </w:rPr>
        <w:t>— Trích từ kết quả tra soát câu trả lời khảo sát ERP các phòng ban, thư mục ERP\CAUHOIKHAOSATMS —</w:t>
      </w:r>
    </w:p>
    <w:p>
      <w:pPr>
        <w:spacing w:before="0" w:after="80"/>
        <w:jc w:val="center"/>
      </w:pPr>
      <w:r>
        <w:rPr>
          <w:rFonts w:ascii="Times New Roman" w:hAnsi="Times New Roman" w:eastAsia="Times New Roman"/>
          <w:b w:val="0"/>
          <w:i w:val="0"/>
          <w:color w:val="5B6B7B"/>
          <w:sz w:val="20"/>
        </w:rPr>
        <w:t>Lập ngày 05/08/2026 — Hermes Agent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76" w:lineRule="auto"/>
    </w:pPr>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