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733FB">
      <w:pPr>
        <w:spacing w:before="480" w:after="120"/>
        <w:jc w:val="center"/>
      </w:pPr>
      <w:r>
        <w:rPr>
          <w:rFonts w:ascii="Arial" w:hAnsi="Arial"/>
          <w:b/>
          <w:color w:val="002060"/>
          <w:sz w:val="36"/>
        </w:rPr>
        <w:t>BẢN KIẾN NGHỊ VÀ ĐÓNG GÓP Ý KIẾN</w:t>
      </w:r>
    </w:p>
    <w:p w14:paraId="7A4A9221">
      <w:pPr>
        <w:spacing w:before="0" w:after="360"/>
        <w:jc w:val="center"/>
      </w:pPr>
      <w:r>
        <w:rPr>
          <w:rFonts w:ascii="Arial" w:hAnsi="Arial"/>
          <w:b/>
          <w:color w:val="002060"/>
          <w:sz w:val="26"/>
        </w:rPr>
        <w:t>ĐỐI VỚI DỰ THẢO SỬA ĐỔI NGHỊ ĐỊNH SỐ 26/2026/NĐ-CP (LUẬT HÓA CHẤT)</w:t>
      </w:r>
    </w:p>
    <w:p w14:paraId="661DE2CF">
      <w:pPr>
        <w:spacing w:after="360"/>
        <w:jc w:val="center"/>
      </w:pPr>
      <w:r>
        <w:rPr>
          <w:color w:val="B4B4B4"/>
        </w:rPr>
        <w:t>————————————————————————————————————————</w:t>
      </w:r>
    </w:p>
    <w:p w14:paraId="5BABC42D">
      <w:pPr>
        <w:spacing w:before="0" w:after="80" w:line="276" w:lineRule="auto"/>
        <w:jc w:val="left"/>
      </w:pPr>
      <w:r>
        <w:rPr>
          <w:rFonts w:ascii="Arial" w:hAnsi="Arial"/>
          <w:b/>
          <w:color w:val="000000"/>
        </w:rPr>
        <w:t>Kính gửi:</w:t>
      </w:r>
      <w:r>
        <w:rPr>
          <w:rFonts w:ascii="Arial" w:hAnsi="Arial"/>
          <w:color w:val="333333"/>
        </w:rPr>
        <w:t xml:space="preserve"> Ban Soạn thảo Dự thảo Nghị định Sửa đổi - Bộ Công Thương / Cục Hóa chất</w:t>
      </w:r>
    </w:p>
    <w:p w14:paraId="68C90BFF">
      <w:pPr>
        <w:spacing w:before="0" w:after="80" w:line="276" w:lineRule="auto"/>
        <w:jc w:val="left"/>
      </w:pPr>
      <w:r>
        <w:rPr>
          <w:rFonts w:ascii="Arial" w:hAnsi="Arial"/>
          <w:b/>
          <w:color w:val="000000"/>
        </w:rPr>
        <w:t>Đồng kính gửi:</w:t>
      </w:r>
      <w:r>
        <w:rPr>
          <w:rFonts w:ascii="Arial" w:hAnsi="Arial"/>
          <w:color w:val="333333"/>
        </w:rPr>
        <w:t xml:space="preserve"> Hiệp hội Doanh nghiệp / Các Cơ quan Quản lý Nhà nước có liên quan</w:t>
      </w:r>
    </w:p>
    <w:p w14:paraId="1F7CEB1B">
      <w:pPr>
        <w:spacing w:before="0" w:after="80" w:line="276" w:lineRule="auto"/>
        <w:jc w:val="left"/>
      </w:pPr>
      <w:r>
        <w:rPr>
          <w:rFonts w:ascii="Arial" w:hAnsi="Arial"/>
          <w:b/>
          <w:color w:val="000000"/>
        </w:rPr>
        <w:t>Đơn vị kiến nghị:</w:t>
      </w:r>
      <w:r>
        <w:rPr>
          <w:rFonts w:ascii="Arial" w:hAnsi="Arial"/>
          <w:color w:val="333333"/>
        </w:rPr>
        <w:t xml:space="preserve"> Đại diện các Doanh nghiệp Sản xuất Sơn nội địa tại Việt Nam</w:t>
      </w:r>
    </w:p>
    <w:p w14:paraId="0B3D2F23">
      <w:pPr>
        <w:keepNext/>
        <w:spacing w:before="320" w:after="120"/>
      </w:pPr>
      <w:r>
        <w:rPr>
          <w:rFonts w:ascii="Arial" w:hAnsi="Arial"/>
          <w:b/>
          <w:color w:val="002060"/>
          <w:sz w:val="28"/>
        </w:rPr>
        <w:t>I. ĐẶT VẤN ĐỀ VÀ BỐI CẢNH CHUNG</w:t>
      </w:r>
    </w:p>
    <w:p w14:paraId="213850E1">
      <w:pPr>
        <w:spacing w:before="80" w:after="160" w:line="276" w:lineRule="auto"/>
        <w:jc w:val="left"/>
      </w:pPr>
      <w:r>
        <w:rPr>
          <w:rFonts w:ascii="Arial" w:hAnsi="Arial"/>
          <w:color w:val="333333"/>
        </w:rPr>
        <w:t>Ngành công nghiệp sản xuất sơn nội địa Việt Nam đóng vai trò là một mắt xích hạ nguồn (downstream processing hub) quan trọng, cung cấp các sản phẩm phủ bề mặt chuyên sâu phục vụ trực tiếp cho các ngành công nghiệp mũi nhọn như sản xuất và xuất khẩu đồ gỗ nội thất . Bản chất của quy trình sản xuất sơn trong nước là nhập khẩu các loại nguyên liệu hóa chất thô từ các nhà sản xuất tiên tiến trên thế giới (bao gồm các loại dung môi, chất phụ gia polymer, bột độn vô cơ, nhựa nitrocellulose, polyisocyanate...) do thị trường nội địa chưa tự sản xuất được, sau đó tiến hành pha chế, tổng hợp thành sản phẩm sơn hoàn chỉnh cung cấp cho các nhà máy .</w:t>
      </w:r>
    </w:p>
    <w:p w14:paraId="712C70EB">
      <w:pPr>
        <w:spacing w:before="80" w:after="160" w:line="276" w:lineRule="auto"/>
        <w:jc w:val="left"/>
      </w:pPr>
      <w:r>
        <w:rPr>
          <w:rFonts w:ascii="Arial" w:hAnsi="Arial"/>
          <w:color w:val="333333"/>
        </w:rPr>
        <w:t xml:space="preserve">Chúng tôi vô cùng hoan nghênh tinh thần kiến tạo và cải cách hành chính tại </w:t>
      </w:r>
      <w:r>
        <w:rPr>
          <w:rFonts w:ascii="Arial" w:hAnsi="Arial"/>
          <w:b/>
          <w:color w:val="000000"/>
        </w:rPr>
        <w:t>Nghị quyết số 19/2026/NQ-CP</w:t>
      </w:r>
      <w:r>
        <w:rPr>
          <w:rFonts w:ascii="Arial" w:hAnsi="Arial"/>
          <w:color w:val="333333"/>
        </w:rPr>
        <w:t xml:space="preserve"> , được thể hiện rõ nét trong Dự thảo sửa đổi Nghị định số 26/2026/NĐ-CP thông qua việc chuyển dịch phương thức từ "tiền kiểm nặng nề" sang "hậu kiểm số hóa" , giảm tải hàng loạt giấy tờ trùng lặp và rút ngắn đáng kể chu kỳ xử lý hành chính .</w:t>
      </w:r>
    </w:p>
    <w:p w14:paraId="1CB58127">
      <w:pPr>
        <w:spacing w:before="80" w:after="160" w:line="276" w:lineRule="auto"/>
        <w:jc w:val="left"/>
      </w:pPr>
      <w:r>
        <w:rPr>
          <w:rFonts w:ascii="Arial" w:hAnsi="Arial"/>
          <w:color w:val="333333"/>
        </w:rPr>
        <w:t xml:space="preserve">Tuy nhiên, qua rà soát sâu sắc nội dung Dự thảo, chúng tôi nhận thấy có những </w:t>
      </w:r>
      <w:r>
        <w:rPr>
          <w:rFonts w:ascii="Arial" w:hAnsi="Arial"/>
          <w:b/>
          <w:color w:val="000000"/>
        </w:rPr>
        <w:t>bất cập mang tính cấu trúc</w:t>
      </w:r>
      <w:r>
        <w:rPr>
          <w:rFonts w:ascii="Arial" w:hAnsi="Arial"/>
          <w:color w:val="333333"/>
        </w:rPr>
        <w:t xml:space="preserve"> vô tình đẩy các nhà máy sản xuất sơn nội địa vào thế </w:t>
      </w:r>
      <w:r>
        <w:rPr>
          <w:rFonts w:ascii="Arial" w:hAnsi="Arial"/>
          <w:b/>
          <w:color w:val="000000"/>
        </w:rPr>
        <w:t>thua thiệt nghiêm trọng về lợi thế cạnh tranh</w:t>
      </w:r>
      <w:r>
        <w:rPr>
          <w:rFonts w:ascii="Arial" w:hAnsi="Arial"/>
          <w:color w:val="333333"/>
        </w:rPr>
        <w:t xml:space="preserve"> so với các doanh nghiệp thương mại nhập khẩu sơn thành phẩm từ nước ngoài. Dưới đây là phân tích chi tiết về các rào cản thủ tục, chi phí bất lợi, trở ngại trong nghiên cứu phát triển (R&amp;D) và các chi phí ẩn phát sinh từ Dự thảo này.</w:t>
      </w:r>
    </w:p>
    <w:p w14:paraId="76C84A36">
      <w:pPr>
        <w:keepNext/>
        <w:spacing w:before="320" w:after="120"/>
      </w:pPr>
      <w:r>
        <w:rPr>
          <w:rFonts w:ascii="Arial" w:hAnsi="Arial"/>
          <w:b/>
          <w:color w:val="002060"/>
          <w:sz w:val="28"/>
        </w:rPr>
        <w:t>II. PHÂN TÍCH CHI TIẾT CÁC BẤT LỢI VÀ RÀO CẢN ĐỐI VỚI DOANH NGHIỆP SẢN XUẤT NỘI ĐỊA</w:t>
      </w:r>
    </w:p>
    <w:p w14:paraId="27E11815">
      <w:pPr>
        <w:keepNext/>
        <w:spacing w:before="240" w:after="120"/>
      </w:pPr>
      <w:r>
        <w:rPr>
          <w:rFonts w:ascii="Arial" w:hAnsi="Arial"/>
          <w:b/>
          <w:color w:val="002060"/>
          <w:sz w:val="24"/>
        </w:rPr>
        <w:t>1. Bất bình đẳng về gánh nặng thủ tục hành chính (Administrative Disadvantage)</w:t>
      </w:r>
    </w:p>
    <w:p w14:paraId="3C09EE48">
      <w:pPr>
        <w:spacing w:before="80" w:after="160" w:line="276" w:lineRule="auto"/>
        <w:jc w:val="left"/>
      </w:pPr>
      <w:r>
        <w:rPr>
          <w:rFonts w:ascii="Arial" w:hAnsi="Arial"/>
          <w:color w:val="333333"/>
        </w:rPr>
        <w:t xml:space="preserve">Sự thua thiệt lớn nhất xuất phát từ cách tiếp cận phân loại loại trừ quản lý tại </w:t>
      </w:r>
      <w:r>
        <w:rPr>
          <w:rFonts w:ascii="Arial" w:hAnsi="Arial"/>
          <w:b/>
          <w:color w:val="000000"/>
        </w:rPr>
        <w:t>Khoản 17 Điều 1</w:t>
      </w:r>
      <w:r>
        <w:rPr>
          <w:rFonts w:ascii="Arial" w:hAnsi="Arial"/>
          <w:color w:val="333333"/>
        </w:rPr>
        <w:t xml:space="preserve"> của Dự thảo:</w:t>
      </w:r>
    </w:p>
    <w:p w14:paraId="20CE8259">
      <w:pPr>
        <w:pStyle w:val="23"/>
        <w:spacing w:before="0" w:after="60" w:line="276" w:lineRule="auto"/>
        <w:ind w:left="360"/>
        <w:jc w:val="left"/>
      </w:pPr>
      <w:r>
        <w:rPr>
          <w:rFonts w:ascii="Arial" w:hAnsi="Arial"/>
          <w:b/>
          <w:color w:val="000000"/>
        </w:rPr>
        <w:t>Đặc quyền miễn trừ tuyệt đối cho hàng sơn nhập khẩu:</w:t>
      </w:r>
      <w:r>
        <w:rPr>
          <w:rFonts w:ascii="Arial" w:hAnsi="Arial"/>
          <w:color w:val="333333"/>
        </w:rPr>
        <w:t xml:space="preserve"> Dự thảo quy định loại trừ hoàn toàn sản phẩm hoàn chỉnh như </w:t>
      </w:r>
      <w:r>
        <w:rPr>
          <w:rFonts w:ascii="Arial" w:hAnsi="Arial"/>
          <w:b/>
          <w:color w:val="000000"/>
        </w:rPr>
        <w:t>"sơn, mực in, chất kết dính, đồ gia dụng hoàn chỉnh"</w:t>
      </w:r>
      <w:r>
        <w:rPr>
          <w:rFonts w:ascii="Arial" w:hAnsi="Arial"/>
          <w:color w:val="333333"/>
        </w:rPr>
        <w:t xml:space="preserve"> ra khỏi phạm vi điều chỉnh của Chương II . Điều này đồng nghĩa với việc các công ty thương mại hoặc các hãng FDI nhập khẩu nguyên thùng sơn thành phẩm từ nước ngoài về bán thẳng cho các nhà máy gỗ sẽ được giải phóng 100% khỏi các quy định hành chính về hóa chất của Bộ Công Thương.</w:t>
      </w:r>
    </w:p>
    <w:p w14:paraId="515E3CC9">
      <w:pPr>
        <w:pStyle w:val="23"/>
        <w:spacing w:before="0" w:after="60" w:line="276" w:lineRule="auto"/>
        <w:ind w:left="360"/>
        <w:jc w:val="left"/>
      </w:pPr>
      <w:r>
        <w:rPr>
          <w:rFonts w:ascii="Arial" w:hAnsi="Arial"/>
          <w:b/>
          <w:color w:val="000000"/>
        </w:rPr>
        <w:t>Gánh nặng tuân thủ đè nặng lên nhà sản xuất trong nước:</w:t>
      </w:r>
      <w:r>
        <w:rPr>
          <w:rFonts w:ascii="Arial" w:hAnsi="Arial"/>
          <w:color w:val="333333"/>
        </w:rPr>
        <w:t xml:space="preserve"> Để sản xuất ra một thùng sơn có tính năng tương tự, các doanh nghiệp nội địa buộc phải nhập khẩu từng thành phần nguyên liệu thô (dung môi, chất phụ gia polymer, bột độn, nhựa tổng hợp...) . Vì là nguyên liệu thô chưa thành phẩm, chúng </w:t>
      </w:r>
      <w:r>
        <w:rPr>
          <w:rFonts w:ascii="Arial" w:hAnsi="Arial"/>
          <w:b/>
          <w:color w:val="000000"/>
        </w:rPr>
        <w:t>vẫn chịu sự điều chỉnh chặt chẽ của Chương II</w:t>
      </w:r>
      <w:r>
        <w:rPr>
          <w:rFonts w:ascii="Arial" w:hAnsi="Arial"/>
          <w:color w:val="333333"/>
        </w:rPr>
        <w:t>. Nhà sản xuất trong nước buộc phải duy trì bộ máy tuân thủ pháp lý phức tạp, thực hiện khai báo hải quan chuyên ngành cho từng lô nguyên liệu nhập khẩu , thực hiện các báo cáo định kỳ và chịu sự thanh tra nghiêm ngặt về điều kiện kho bãi .</w:t>
      </w:r>
    </w:p>
    <w:p w14:paraId="4A787F39">
      <w:pPr>
        <w:keepNext/>
        <w:spacing w:before="240" w:after="120"/>
      </w:pPr>
      <w:r>
        <w:rPr>
          <w:rFonts w:ascii="Arial" w:hAnsi="Arial"/>
          <w:b/>
          <w:color w:val="002060"/>
          <w:sz w:val="24"/>
        </w:rPr>
        <w:t>2. Chi phí bất lợi trực tiếp (Direct Compliance Cost)</w:t>
      </w:r>
    </w:p>
    <w:p w14:paraId="1BA230E6">
      <w:pPr>
        <w:spacing w:before="80" w:after="160" w:line="276" w:lineRule="auto"/>
        <w:jc w:val="left"/>
      </w:pPr>
      <w:r>
        <w:rPr>
          <w:rFonts w:ascii="Arial" w:hAnsi="Arial"/>
          <w:color w:val="333333"/>
        </w:rPr>
        <w:t>Việc phải tuân thủ Chương II tạo ra một khoản "thuế tuân thủ" (compliance cost) thường trực, làm tăng giá thành sản xuất của sơn nội địa so với sơn nhập khẩu:</w:t>
      </w:r>
    </w:p>
    <w:p w14:paraId="1ACA3B24">
      <w:pPr>
        <w:pStyle w:val="23"/>
        <w:spacing w:before="0" w:after="60" w:line="276" w:lineRule="auto"/>
        <w:ind w:left="360"/>
        <w:jc w:val="left"/>
      </w:pPr>
      <w:r>
        <w:rPr>
          <w:rFonts w:ascii="Arial" w:hAnsi="Arial"/>
          <w:b/>
          <w:color w:val="000000"/>
        </w:rPr>
        <w:t>Bãi bỏ hoàn toàn miễn trừ đối với lô hàng nhỏ và mẫu thử:</w:t>
      </w:r>
      <w:r>
        <w:rPr>
          <w:rFonts w:ascii="Arial" w:hAnsi="Arial"/>
          <w:color w:val="333333"/>
        </w:rPr>
        <w:t xml:space="preserve"> Dự thảo bãi bỏ các điểm c, d Khoản 7 Điều 6 (quy định cũ miễn khai báo đối với hóa chất nhập khẩu dưới 10kg và mẫu thử dưới 1kg) . Sự thay đổi này bắt buộc doanh nghiệp sản xuất phải khai báo điện tử 100% qua Cổng Một cửa Quốc gia cho mọi lô hàng nguyên liệu, dù là lượng rất nhỏ . Điều này làm tăng tần suất thực hiện thủ tục và chi phí thông quan phát sinh trên mỗi đơn vị hàng hóa.</w:t>
      </w:r>
    </w:p>
    <w:p w14:paraId="24921136">
      <w:pPr>
        <w:pStyle w:val="23"/>
        <w:spacing w:before="0" w:after="60" w:line="276" w:lineRule="auto"/>
        <w:ind w:left="360"/>
        <w:jc w:val="left"/>
      </w:pPr>
      <w:r>
        <w:rPr>
          <w:rFonts w:ascii="Arial" w:hAnsi="Arial"/>
          <w:b/>
          <w:color w:val="000000"/>
        </w:rPr>
        <w:t>Duy trì nhân sự chuyên môn đắt đỏ:</w:t>
      </w:r>
      <w:r>
        <w:rPr>
          <w:rFonts w:ascii="Arial" w:hAnsi="Arial"/>
          <w:color w:val="333333"/>
        </w:rPr>
        <w:t xml:space="preserve"> Doanh nghiệp sản xuất bắt buộc phải có người phụ trách an toàn hóa chất có bằng cử nhân ngành hóa học theo đúng Danh mục cụ thể tại Phụ lục III Nghị định 25/2026/NĐ-CP . Đây là một áp lực chi phí nhân sự thường trực mà các đơn vị nhập khẩu sơn thành phẩm không phải gánh chịu.</w:t>
      </w:r>
    </w:p>
    <w:p w14:paraId="67D9A56B">
      <w:pPr>
        <w:pStyle w:val="23"/>
        <w:spacing w:before="0" w:after="60" w:line="276" w:lineRule="auto"/>
        <w:ind w:left="360"/>
        <w:jc w:val="left"/>
      </w:pPr>
      <w:r>
        <w:rPr>
          <w:rFonts w:ascii="Arial" w:hAnsi="Arial"/>
          <w:b/>
          <w:color w:val="000000"/>
        </w:rPr>
        <w:t>Nghĩa vụ báo cáo và công bố thông tin:</w:t>
      </w:r>
      <w:r>
        <w:rPr>
          <w:rFonts w:ascii="Arial" w:hAnsi="Arial"/>
          <w:color w:val="333333"/>
        </w:rPr>
        <w:t xml:space="preserve"> Doanh nghiệp sản xuất phải xây dựng hệ thống theo dõi và thực hiện báo cáo tình hình hoạt động trước ngày 15/01 hàng năm , đồng thời phải công bố tổng khối lượng sản xuất, nhập khẩu sản phẩm chứa hóa chất nguy hiểm hàng năm .</w:t>
      </w:r>
    </w:p>
    <w:p w14:paraId="1556296F">
      <w:pPr>
        <w:keepNext/>
        <w:spacing w:before="240" w:after="120"/>
      </w:pPr>
      <w:r>
        <w:rPr>
          <w:rFonts w:ascii="Arial" w:hAnsi="Arial"/>
          <w:b/>
          <w:color w:val="002060"/>
          <w:sz w:val="24"/>
        </w:rPr>
        <w:t>3. Trở ngại lớn trong nghiên cứu phát triển (R&amp;D) và thử nghiệm hóa chất mới</w:t>
      </w:r>
    </w:p>
    <w:p w14:paraId="31E5E96B">
      <w:pPr>
        <w:spacing w:before="80" w:after="160" w:line="276" w:lineRule="auto"/>
        <w:jc w:val="left"/>
      </w:pPr>
      <w:r>
        <w:rPr>
          <w:rFonts w:ascii="Arial" w:hAnsi="Arial"/>
          <w:color w:val="333333"/>
        </w:rPr>
        <w:t>Ngành sản xuất sơn đòi hỏi phải liên tục cải tiến công thức bằng cách thử nghiệm các chất phụ gia mới (chất tạo đặc tính, chống trầy, khô nhanh...) được các phòng thí nghiệm trên thế giới phát triển . Dự thảo mới đang vô tình bóp nghẹt năng lực đổi mới sáng tạo này:</w:t>
      </w:r>
    </w:p>
    <w:p w14:paraId="1DAE0176">
      <w:pPr>
        <w:pStyle w:val="23"/>
        <w:spacing w:before="0" w:after="60" w:line="276" w:lineRule="auto"/>
        <w:ind w:left="360"/>
        <w:jc w:val="left"/>
      </w:pPr>
      <w:r>
        <w:rPr>
          <w:rFonts w:ascii="Arial" w:hAnsi="Arial"/>
          <w:b/>
          <w:color w:val="000000"/>
        </w:rPr>
        <w:t>Quy trình đăng ký hóa chất mới kéo dài:</w:t>
      </w:r>
      <w:r>
        <w:rPr>
          <w:rFonts w:ascii="Arial" w:hAnsi="Arial"/>
          <w:color w:val="333333"/>
        </w:rPr>
        <w:t xml:space="preserve"> Khi phát hiện một chất phụ gia hoặc nhựa tổng hợp ưu việt chưa có trên hệ thống Cơ sở dữ liệu quốc gia, doanh nghiệp sản xuất nội địa phải làm thủ tục "Đăng ký hóa chất mới" . Dù Dự thảo đã cải cách mạnh mẽ bằng cách rút ngắn thời gian thẩm định từ 90 ngày xuống còn </w:t>
      </w:r>
      <w:r>
        <w:rPr>
          <w:rFonts w:ascii="Arial" w:hAnsi="Arial"/>
          <w:b/>
          <w:color w:val="000000"/>
        </w:rPr>
        <w:t>50 ngày làm việc</w:t>
      </w:r>
      <w:r>
        <w:rPr>
          <w:rFonts w:ascii="Arial" w:hAnsi="Arial"/>
          <w:color w:val="333333"/>
        </w:rPr>
        <w:t xml:space="preserve"> , đây vẫn là một khoảng thời gian chờ đợi quá dài về mặt thương mại.</w:t>
      </w:r>
    </w:p>
    <w:p w14:paraId="77D14398">
      <w:pPr>
        <w:pStyle w:val="23"/>
        <w:spacing w:before="0" w:after="60" w:line="276" w:lineRule="auto"/>
        <w:ind w:left="360"/>
        <w:jc w:val="left"/>
      </w:pPr>
      <w:r>
        <w:rPr>
          <w:rFonts w:ascii="Arial" w:hAnsi="Arial"/>
          <w:b/>
          <w:color w:val="000000"/>
        </w:rPr>
        <w:t>Trễ nhịp thị trường so với hàng nhập khẩu:</w:t>
      </w:r>
      <w:r>
        <w:rPr>
          <w:rFonts w:ascii="Arial" w:hAnsi="Arial"/>
          <w:color w:val="333333"/>
        </w:rPr>
        <w:t xml:space="preserve"> Trong khi nhà sản xuất trong nước phải chờ tối thiểu 50 ngày làm việc (chưa kể thời gian chuẩn bị hồ sơ và cấp văn bản xác nhận 03 ngày)  chỉ để được phép nhập nguyên liệu về thử nghiệm, thì các đối thủ nước ngoài có thể nhập khẩu ngay lập tức sản phẩm sơn hoàn chỉnh đã chứa sẵn chất phụ gia mới đó vào Việt Nam và bán cho các nhà máy gỗ xuất khẩu mà không gặp bất kỳ rào cản nào .</w:t>
      </w:r>
    </w:p>
    <w:p w14:paraId="64E4F919">
      <w:pPr>
        <w:pStyle w:val="23"/>
        <w:spacing w:before="0" w:after="60" w:line="276" w:lineRule="auto"/>
        <w:ind w:left="360"/>
        <w:jc w:val="left"/>
      </w:pPr>
      <w:r>
        <w:rPr>
          <w:rFonts w:ascii="Arial" w:hAnsi="Arial"/>
          <w:b/>
          <w:color w:val="000000"/>
        </w:rPr>
        <w:t>Rào cản thử nghiệm quy mô nhỏ:</w:t>
      </w:r>
      <w:r>
        <w:rPr>
          <w:rFonts w:ascii="Arial" w:hAnsi="Arial"/>
          <w:color w:val="333333"/>
        </w:rPr>
        <w:t xml:space="preserve"> Việc bãi bỏ miễn trừ khai báo mẫu thử nghiệm dưới 1kg  khiến việc nhập khẩu vài trăm gram phụ gia mới về chạy thử trong phòng thí nghiệm cũng phải trải qua quy trình khai báo hành chính đầy đủ, làm giảm đáng kể động lực R&amp;D của đội ngũ kỹ thuật.</w:t>
      </w:r>
    </w:p>
    <w:p w14:paraId="2648E9B3">
      <w:pPr>
        <w:keepNext/>
        <w:spacing w:before="240" w:after="120"/>
      </w:pPr>
      <w:r>
        <w:rPr>
          <w:rFonts w:ascii="Arial" w:hAnsi="Arial"/>
          <w:b/>
          <w:color w:val="002060"/>
          <w:sz w:val="24"/>
        </w:rPr>
        <w:t>4. Các chi phí ẩn (Hidden Costs) bào mòn biên lợi nhuận</w:t>
      </w:r>
    </w:p>
    <w:p w14:paraId="400BCAD5">
      <w:pPr>
        <w:spacing w:before="80" w:after="160" w:line="276" w:lineRule="auto"/>
        <w:jc w:val="left"/>
      </w:pPr>
      <w:r>
        <w:rPr>
          <w:rFonts w:ascii="Arial" w:hAnsi="Arial"/>
          <w:color w:val="333333"/>
        </w:rPr>
        <w:t>Bên cạnh các chi phí hữu hình, các doanh nghiệp sản xuất nội địa còn phải gánh chịu hàng loạt chi phí ẩn phi lý:</w:t>
      </w:r>
    </w:p>
    <w:p w14:paraId="0654CBA1">
      <w:pPr>
        <w:pStyle w:val="23"/>
        <w:spacing w:before="0" w:after="60" w:line="276" w:lineRule="auto"/>
        <w:ind w:left="360"/>
        <w:jc w:val="left"/>
      </w:pPr>
      <w:r>
        <w:rPr>
          <w:rFonts w:ascii="Arial" w:hAnsi="Arial"/>
          <w:b/>
          <w:color w:val="000000"/>
        </w:rPr>
        <w:t>Chi phí cơ hội do "Time-to-market" chậm trễ:</w:t>
      </w:r>
      <w:r>
        <w:rPr>
          <w:rFonts w:ascii="Arial" w:hAnsi="Arial"/>
          <w:color w:val="333333"/>
        </w:rPr>
        <w:t xml:space="preserve"> Việc chậm chân hơn đối thủ nhập khẩu từ 2 - 3 tháng trong việc ra mắt sản phẩm mới có thể khiến doanh nghiệp nội địa mất đi các hợp đồng cung ứng dài hạn với các nhà máy đồ gỗ xuất khẩu lớn.</w:t>
      </w:r>
    </w:p>
    <w:p w14:paraId="6685E1B6">
      <w:pPr>
        <w:pStyle w:val="23"/>
        <w:spacing w:before="0" w:after="60" w:line="276" w:lineRule="auto"/>
        <w:ind w:left="360"/>
        <w:jc w:val="left"/>
      </w:pPr>
      <w:r>
        <w:rPr>
          <w:rFonts w:ascii="Arial" w:hAnsi="Arial"/>
          <w:b/>
          <w:color w:val="000000"/>
        </w:rPr>
        <w:t>Gánh nặng chuẩn bị hồ sơ và dữ liệu:</w:t>
      </w:r>
      <w:r>
        <w:rPr>
          <w:rFonts w:ascii="Arial" w:hAnsi="Arial"/>
          <w:color w:val="333333"/>
        </w:rPr>
        <w:t xml:space="preserve"> Mặc dù Dự thảo bãi bỏ yêu cầu nộp MSDS bản giấy cho các thủ tục điều kiện  nhưng đối với các hóa chất mới nhập khẩu lần đầu, doanh nghiệp vẫn phải bỏ ra chi phí và nhân lực lớn để yêu cầu đối tác nước ngoài cung cấp MSDS chuẩn xác, thực hiện dịch thuật và nộp hồ sơ đăng ký hóa chất mới lên Bộ Công Thương .</w:t>
      </w:r>
    </w:p>
    <w:p w14:paraId="423B3444">
      <w:pPr>
        <w:pStyle w:val="23"/>
        <w:spacing w:before="0" w:after="60" w:line="276" w:lineRule="auto"/>
        <w:ind w:left="360"/>
        <w:jc w:val="left"/>
      </w:pPr>
      <w:r>
        <w:rPr>
          <w:rFonts w:ascii="Arial" w:hAnsi="Arial"/>
          <w:b/>
          <w:color w:val="000000"/>
        </w:rPr>
        <w:t>Rủi ro từ hoạt động hậu kiểm liên ngành:</w:t>
      </w:r>
      <w:r>
        <w:rPr>
          <w:rFonts w:ascii="Arial" w:hAnsi="Arial"/>
          <w:color w:val="333333"/>
        </w:rPr>
        <w:t xml:space="preserve"> Xu hướng dịch chuyển sang "hậu kiểm có mục tiêu" đồng nghĩa với việc các cơ sở sản xuất và kho bãi của doanh nghiệp nội địa sẽ chịu tần suất thanh tra, kiểm tra thực tế cao hơn từ các cơ quan quản lý địa phương (Sở Công Thương, UBND cấp tỉnh, Công an, Môi trường) . Hoạt động này tiêu tốn nhiều thời gian, công sức và tạo áp lực pháp lý liên tục lên ban điều hành nhà máy, trong khi các văn phòng thương mại nhập khẩu sơn thành phẩm hầu như đứng ngoài tầm ngắm của các đoàn kiểm tra chuyên ngành hóa chất nguy hiểm này.</w:t>
      </w:r>
    </w:p>
    <w:p w14:paraId="6417C846">
      <w:pPr>
        <w:keepNext/>
        <w:spacing w:before="320" w:after="120"/>
      </w:pPr>
      <w:r>
        <w:rPr>
          <w:rFonts w:ascii="Arial" w:hAnsi="Arial"/>
          <w:b/>
          <w:color w:val="002060"/>
          <w:sz w:val="28"/>
        </w:rPr>
        <w:t>III. TỔNG HỢP SO SÁNH LỢI THẾ CẠNH TRANH TRỰC TIẾP</w:t>
      </w:r>
    </w:p>
    <w:tbl>
      <w:tblPr>
        <w:tblStyle w:val="12"/>
        <w:tblW w:w="0" w:type="auto"/>
        <w:jc w:val="center"/>
        <w:tblLayout w:type="fixed"/>
        <w:tblCellMar>
          <w:top w:w="0" w:type="dxa"/>
          <w:left w:w="108" w:type="dxa"/>
          <w:bottom w:w="0" w:type="dxa"/>
          <w:right w:w="108" w:type="dxa"/>
        </w:tblCellMar>
      </w:tblPr>
      <w:tblGrid>
        <w:gridCol w:w="3120"/>
        <w:gridCol w:w="3120"/>
        <w:gridCol w:w="3120"/>
      </w:tblGrid>
      <w:tr w14:paraId="03C5D24C">
        <w:tblPrEx>
          <w:tblCellMar>
            <w:top w:w="0" w:type="dxa"/>
            <w:left w:w="108" w:type="dxa"/>
            <w:bottom w:w="0" w:type="dxa"/>
            <w:right w:w="108" w:type="dxa"/>
          </w:tblCellMar>
        </w:tblPrEx>
        <w:trPr>
          <w:trHeight w:val="400" w:hRule="atLeast"/>
          <w:jc w:val="center"/>
        </w:trPr>
        <w:tc>
          <w:tcPr>
            <w:tcW w:w="2160" w:type="dxa"/>
            <w:shd w:val="clear" w:color="auto" w:fill="002060"/>
            <w:tcMar>
              <w:top w:w="100" w:type="dxa"/>
              <w:left w:w="150" w:type="dxa"/>
              <w:bottom w:w="100" w:type="dxa"/>
              <w:right w:w="150" w:type="dxa"/>
            </w:tcMar>
            <w:vAlign w:val="center"/>
          </w:tcPr>
          <w:p w14:paraId="1A25D0E4">
            <w:pPr>
              <w:spacing w:before="0" w:after="0"/>
              <w:jc w:val="left"/>
            </w:pPr>
            <w:r>
              <w:rPr>
                <w:rFonts w:ascii="Arial" w:hAnsi="Arial"/>
                <w:b/>
                <w:color w:val="FFFFFF"/>
                <w:sz w:val="20"/>
              </w:rPr>
              <w:t>Tiêu chí</w:t>
            </w:r>
          </w:p>
        </w:tc>
        <w:tc>
          <w:tcPr>
            <w:tcW w:w="3600" w:type="dxa"/>
            <w:shd w:val="clear" w:color="auto" w:fill="002060"/>
            <w:tcMar>
              <w:top w:w="100" w:type="dxa"/>
              <w:left w:w="150" w:type="dxa"/>
              <w:bottom w:w="100" w:type="dxa"/>
              <w:right w:w="150" w:type="dxa"/>
            </w:tcMar>
            <w:vAlign w:val="center"/>
          </w:tcPr>
          <w:p w14:paraId="47D28E1C">
            <w:pPr>
              <w:spacing w:before="0" w:after="0"/>
              <w:jc w:val="left"/>
            </w:pPr>
            <w:r>
              <w:rPr>
                <w:rFonts w:ascii="Arial" w:hAnsi="Arial"/>
                <w:b/>
                <w:color w:val="FFFFFF"/>
                <w:sz w:val="20"/>
              </w:rPr>
              <w:t xml:space="preserve">Doanh nghiệp sản xuất sơn nội địa (Nhập nguyên liệu thô) </w:t>
            </w:r>
          </w:p>
        </w:tc>
        <w:tc>
          <w:tcPr>
            <w:tcW w:w="3600" w:type="dxa"/>
            <w:shd w:val="clear" w:color="auto" w:fill="002060"/>
            <w:tcMar>
              <w:top w:w="100" w:type="dxa"/>
              <w:left w:w="150" w:type="dxa"/>
              <w:bottom w:w="100" w:type="dxa"/>
              <w:right w:w="150" w:type="dxa"/>
            </w:tcMar>
            <w:vAlign w:val="center"/>
          </w:tcPr>
          <w:p w14:paraId="35625E7A">
            <w:pPr>
              <w:spacing w:before="0" w:after="0"/>
              <w:jc w:val="left"/>
            </w:pPr>
            <w:r>
              <w:rPr>
                <w:rFonts w:ascii="Arial" w:hAnsi="Arial"/>
                <w:b/>
                <w:color w:val="FFFFFF"/>
                <w:sz w:val="20"/>
              </w:rPr>
              <w:t xml:space="preserve">Doanh nghiệp nhập khẩu sơn thành phẩm (Sơn hoàn chỉnh) </w:t>
            </w:r>
          </w:p>
        </w:tc>
      </w:tr>
      <w:tr w14:paraId="144F2A50">
        <w:tblPrEx>
          <w:tblCellMar>
            <w:top w:w="0" w:type="dxa"/>
            <w:left w:w="108" w:type="dxa"/>
            <w:bottom w:w="0" w:type="dxa"/>
            <w:right w:w="108" w:type="dxa"/>
          </w:tblCellMar>
        </w:tblPrEx>
        <w:trPr>
          <w:trHeight w:val="300" w:hRule="atLeast"/>
          <w:jc w:val="center"/>
        </w:trPr>
        <w:tc>
          <w:tcPr>
            <w:tcW w:w="2160" w:type="dxa"/>
            <w:shd w:val="clear" w:color="auto" w:fill="F2F4F7"/>
            <w:tcMar>
              <w:top w:w="100" w:type="dxa"/>
              <w:left w:w="150" w:type="dxa"/>
              <w:bottom w:w="100" w:type="dxa"/>
              <w:right w:w="150" w:type="dxa"/>
            </w:tcMar>
            <w:vAlign w:val="center"/>
          </w:tcPr>
          <w:p w14:paraId="31E167A8">
            <w:pPr>
              <w:spacing w:before="0" w:after="0"/>
              <w:jc w:val="left"/>
            </w:pPr>
            <w:r>
              <w:rPr>
                <w:rFonts w:ascii="Arial" w:hAnsi="Arial"/>
                <w:b/>
                <w:color w:val="333333"/>
                <w:sz w:val="20"/>
              </w:rPr>
              <w:t>Áp dụng Chương II (Luật Hóa chất)</w:t>
            </w:r>
          </w:p>
        </w:tc>
        <w:tc>
          <w:tcPr>
            <w:tcW w:w="3600" w:type="dxa"/>
            <w:shd w:val="clear" w:color="auto" w:fill="F2F4F7"/>
            <w:tcMar>
              <w:top w:w="100" w:type="dxa"/>
              <w:left w:w="150" w:type="dxa"/>
              <w:bottom w:w="100" w:type="dxa"/>
              <w:right w:w="150" w:type="dxa"/>
            </w:tcMar>
            <w:vAlign w:val="center"/>
          </w:tcPr>
          <w:p w14:paraId="0F0873F6">
            <w:pPr>
              <w:spacing w:before="0" w:after="0"/>
              <w:jc w:val="left"/>
            </w:pPr>
            <w:r>
              <w:rPr>
                <w:rFonts w:ascii="Arial" w:hAnsi="Arial"/>
                <w:b/>
                <w:color w:val="333333"/>
                <w:sz w:val="20"/>
              </w:rPr>
              <w:t>CÓ</w:t>
            </w:r>
            <w:r>
              <w:rPr>
                <w:rFonts w:ascii="Arial" w:hAnsi="Arial"/>
                <w:b w:val="0"/>
                <w:color w:val="333333"/>
                <w:sz w:val="20"/>
              </w:rPr>
              <w:t xml:space="preserve"> (Bị quản lý nghiêm ngặt)</w:t>
            </w:r>
          </w:p>
        </w:tc>
        <w:tc>
          <w:tcPr>
            <w:tcW w:w="3600" w:type="dxa"/>
            <w:shd w:val="clear" w:color="auto" w:fill="F2F4F7"/>
            <w:tcMar>
              <w:top w:w="100" w:type="dxa"/>
              <w:left w:w="150" w:type="dxa"/>
              <w:bottom w:w="100" w:type="dxa"/>
              <w:right w:w="150" w:type="dxa"/>
            </w:tcMar>
            <w:vAlign w:val="center"/>
          </w:tcPr>
          <w:p w14:paraId="29D87696">
            <w:pPr>
              <w:spacing w:before="0" w:after="0"/>
              <w:jc w:val="left"/>
            </w:pPr>
            <w:r>
              <w:rPr>
                <w:rFonts w:ascii="Arial" w:hAnsi="Arial"/>
                <w:b/>
                <w:color w:val="333333"/>
                <w:sz w:val="20"/>
              </w:rPr>
              <w:t>KHÔNG</w:t>
            </w:r>
            <w:r>
              <w:rPr>
                <w:rFonts w:ascii="Arial" w:hAnsi="Arial"/>
                <w:b w:val="0"/>
                <w:color w:val="333333"/>
                <w:sz w:val="20"/>
              </w:rPr>
              <w:t xml:space="preserve"> (Được loại trừ hoàn toàn) </w:t>
            </w:r>
          </w:p>
        </w:tc>
      </w:tr>
      <w:tr w14:paraId="1EE47882">
        <w:tblPrEx>
          <w:tblCellMar>
            <w:top w:w="0" w:type="dxa"/>
            <w:left w:w="108" w:type="dxa"/>
            <w:bottom w:w="0" w:type="dxa"/>
            <w:right w:w="108" w:type="dxa"/>
          </w:tblCellMar>
        </w:tblPrEx>
        <w:trPr>
          <w:trHeight w:val="300" w:hRule="atLeast"/>
          <w:jc w:val="center"/>
        </w:trPr>
        <w:tc>
          <w:tcPr>
            <w:tcW w:w="2160" w:type="dxa"/>
            <w:shd w:val="clear" w:color="auto" w:fill="FFFFFF"/>
            <w:tcMar>
              <w:top w:w="100" w:type="dxa"/>
              <w:left w:w="150" w:type="dxa"/>
              <w:bottom w:w="100" w:type="dxa"/>
              <w:right w:w="150" w:type="dxa"/>
            </w:tcMar>
            <w:vAlign w:val="center"/>
          </w:tcPr>
          <w:p w14:paraId="3554C295">
            <w:pPr>
              <w:spacing w:before="0" w:after="0"/>
              <w:jc w:val="left"/>
            </w:pPr>
            <w:r>
              <w:rPr>
                <w:rFonts w:ascii="Arial" w:hAnsi="Arial"/>
                <w:b/>
                <w:color w:val="333333"/>
                <w:sz w:val="20"/>
              </w:rPr>
              <w:t>Thủ tục nhập khẩu mẫu thử (&lt;1kg)</w:t>
            </w:r>
          </w:p>
        </w:tc>
        <w:tc>
          <w:tcPr>
            <w:tcW w:w="3600" w:type="dxa"/>
            <w:shd w:val="clear" w:color="auto" w:fill="FFFFFF"/>
            <w:tcMar>
              <w:top w:w="100" w:type="dxa"/>
              <w:left w:w="150" w:type="dxa"/>
              <w:bottom w:w="100" w:type="dxa"/>
              <w:right w:w="150" w:type="dxa"/>
            </w:tcMar>
            <w:vAlign w:val="center"/>
          </w:tcPr>
          <w:p w14:paraId="6B33CA9D">
            <w:pPr>
              <w:spacing w:before="0" w:after="0"/>
              <w:jc w:val="left"/>
            </w:pPr>
            <w:r>
              <w:rPr>
                <w:rFonts w:ascii="Arial" w:hAnsi="Arial"/>
                <w:b w:val="0"/>
                <w:color w:val="333333"/>
                <w:sz w:val="20"/>
              </w:rPr>
              <w:t xml:space="preserve">Phải khai báo 100% qua Cổng Một cửa Quốc gia </w:t>
            </w:r>
          </w:p>
        </w:tc>
        <w:tc>
          <w:tcPr>
            <w:tcW w:w="3600" w:type="dxa"/>
            <w:shd w:val="clear" w:color="auto" w:fill="FFFFFF"/>
            <w:tcMar>
              <w:top w:w="100" w:type="dxa"/>
              <w:left w:w="150" w:type="dxa"/>
              <w:bottom w:w="100" w:type="dxa"/>
              <w:right w:w="150" w:type="dxa"/>
            </w:tcMar>
            <w:vAlign w:val="center"/>
          </w:tcPr>
          <w:p w14:paraId="023B4D8E">
            <w:pPr>
              <w:spacing w:before="0" w:after="0"/>
              <w:jc w:val="left"/>
            </w:pPr>
            <w:r>
              <w:rPr>
                <w:rFonts w:ascii="Arial" w:hAnsi="Arial"/>
                <w:b w:val="0"/>
                <w:color w:val="333333"/>
                <w:sz w:val="20"/>
              </w:rPr>
              <w:t>Được miễn trừ (nằm trong sơn hoàn chỉnh)</w:t>
            </w:r>
          </w:p>
        </w:tc>
      </w:tr>
      <w:tr w14:paraId="566401FF">
        <w:tblPrEx>
          <w:tblCellMar>
            <w:top w:w="0" w:type="dxa"/>
            <w:left w:w="108" w:type="dxa"/>
            <w:bottom w:w="0" w:type="dxa"/>
            <w:right w:w="108" w:type="dxa"/>
          </w:tblCellMar>
        </w:tblPrEx>
        <w:trPr>
          <w:trHeight w:val="300" w:hRule="atLeast"/>
          <w:jc w:val="center"/>
        </w:trPr>
        <w:tc>
          <w:tcPr>
            <w:tcW w:w="2160" w:type="dxa"/>
            <w:shd w:val="clear" w:color="auto" w:fill="F2F4F7"/>
            <w:tcMar>
              <w:top w:w="100" w:type="dxa"/>
              <w:left w:w="150" w:type="dxa"/>
              <w:bottom w:w="100" w:type="dxa"/>
              <w:right w:w="150" w:type="dxa"/>
            </w:tcMar>
            <w:vAlign w:val="center"/>
          </w:tcPr>
          <w:p w14:paraId="000BA863">
            <w:pPr>
              <w:spacing w:before="0" w:after="0"/>
              <w:jc w:val="left"/>
            </w:pPr>
            <w:r>
              <w:rPr>
                <w:rFonts w:ascii="Arial" w:hAnsi="Arial"/>
                <w:b/>
                <w:color w:val="333333"/>
                <w:sz w:val="20"/>
              </w:rPr>
              <w:t>Đưa nguyên liệu/chất mới vào sử dụng</w:t>
            </w:r>
          </w:p>
        </w:tc>
        <w:tc>
          <w:tcPr>
            <w:tcW w:w="3600" w:type="dxa"/>
            <w:shd w:val="clear" w:color="auto" w:fill="F2F4F7"/>
            <w:tcMar>
              <w:top w:w="100" w:type="dxa"/>
              <w:left w:w="150" w:type="dxa"/>
              <w:bottom w:w="100" w:type="dxa"/>
              <w:right w:w="150" w:type="dxa"/>
            </w:tcMar>
            <w:vAlign w:val="center"/>
          </w:tcPr>
          <w:p w14:paraId="07B3B5F4">
            <w:pPr>
              <w:spacing w:before="0" w:after="0"/>
              <w:jc w:val="left"/>
            </w:pPr>
            <w:r>
              <w:rPr>
                <w:rFonts w:ascii="Arial" w:hAnsi="Arial"/>
                <w:b w:val="0"/>
                <w:color w:val="333333"/>
                <w:sz w:val="20"/>
              </w:rPr>
              <w:t>Phải Đăng ký hóa chất mới (</w:t>
            </w:r>
            <w:r>
              <w:rPr>
                <w:rFonts w:ascii="Arial" w:hAnsi="Arial"/>
                <w:b/>
                <w:color w:val="333333"/>
                <w:sz w:val="20"/>
              </w:rPr>
              <w:t>chờ 50 ngày làm việc</w:t>
            </w:r>
            <w:r>
              <w:rPr>
                <w:rFonts w:ascii="Arial" w:hAnsi="Arial"/>
                <w:b w:val="0"/>
                <w:color w:val="333333"/>
                <w:sz w:val="20"/>
              </w:rPr>
              <w:t xml:space="preserve">) </w:t>
            </w:r>
          </w:p>
        </w:tc>
        <w:tc>
          <w:tcPr>
            <w:tcW w:w="3600" w:type="dxa"/>
            <w:shd w:val="clear" w:color="auto" w:fill="F2F4F7"/>
            <w:tcMar>
              <w:top w:w="100" w:type="dxa"/>
              <w:left w:w="150" w:type="dxa"/>
              <w:bottom w:w="100" w:type="dxa"/>
              <w:right w:w="150" w:type="dxa"/>
            </w:tcMar>
            <w:vAlign w:val="center"/>
          </w:tcPr>
          <w:p w14:paraId="6D0718D6">
            <w:pPr>
              <w:spacing w:before="0" w:after="0"/>
              <w:jc w:val="left"/>
            </w:pPr>
            <w:r>
              <w:rPr>
                <w:rFonts w:ascii="Arial" w:hAnsi="Arial"/>
                <w:b w:val="0"/>
                <w:color w:val="333333"/>
                <w:sz w:val="20"/>
              </w:rPr>
              <w:t xml:space="preserve">Được bán ngay lập tức không cần đăng ký </w:t>
            </w:r>
          </w:p>
        </w:tc>
      </w:tr>
      <w:tr w14:paraId="1AFF9A09">
        <w:tblPrEx>
          <w:tblCellMar>
            <w:top w:w="0" w:type="dxa"/>
            <w:left w:w="108" w:type="dxa"/>
            <w:bottom w:w="0" w:type="dxa"/>
            <w:right w:w="108" w:type="dxa"/>
          </w:tblCellMar>
        </w:tblPrEx>
        <w:trPr>
          <w:trHeight w:val="300" w:hRule="atLeast"/>
          <w:jc w:val="center"/>
        </w:trPr>
        <w:tc>
          <w:tcPr>
            <w:tcW w:w="2160" w:type="dxa"/>
            <w:shd w:val="clear" w:color="auto" w:fill="FFFFFF"/>
            <w:tcMar>
              <w:top w:w="100" w:type="dxa"/>
              <w:left w:w="150" w:type="dxa"/>
              <w:bottom w:w="100" w:type="dxa"/>
              <w:right w:w="150" w:type="dxa"/>
            </w:tcMar>
            <w:vAlign w:val="center"/>
          </w:tcPr>
          <w:p w14:paraId="7CB95DEA">
            <w:pPr>
              <w:spacing w:before="0" w:after="0"/>
              <w:jc w:val="left"/>
            </w:pPr>
            <w:r>
              <w:rPr>
                <w:rFonts w:ascii="Arial" w:hAnsi="Arial"/>
                <w:b/>
                <w:color w:val="333333"/>
                <w:sz w:val="20"/>
              </w:rPr>
              <w:t>Chi phí nhân sự chuyên trách</w:t>
            </w:r>
          </w:p>
        </w:tc>
        <w:tc>
          <w:tcPr>
            <w:tcW w:w="3600" w:type="dxa"/>
            <w:shd w:val="clear" w:color="auto" w:fill="FFFFFF"/>
            <w:tcMar>
              <w:top w:w="100" w:type="dxa"/>
              <w:left w:w="150" w:type="dxa"/>
              <w:bottom w:w="100" w:type="dxa"/>
              <w:right w:w="150" w:type="dxa"/>
            </w:tcMar>
            <w:vAlign w:val="center"/>
          </w:tcPr>
          <w:p w14:paraId="54900D0C">
            <w:pPr>
              <w:spacing w:before="0" w:after="0"/>
              <w:jc w:val="left"/>
            </w:pPr>
            <w:r>
              <w:rPr>
                <w:rFonts w:ascii="Arial" w:hAnsi="Arial"/>
                <w:b w:val="0"/>
                <w:color w:val="333333"/>
                <w:sz w:val="20"/>
              </w:rPr>
              <w:t xml:space="preserve">Bắt buộc phải có Cử nhân ngành Hóa học </w:t>
            </w:r>
          </w:p>
        </w:tc>
        <w:tc>
          <w:tcPr>
            <w:tcW w:w="3600" w:type="dxa"/>
            <w:shd w:val="clear" w:color="auto" w:fill="FFFFFF"/>
            <w:tcMar>
              <w:top w:w="100" w:type="dxa"/>
              <w:left w:w="150" w:type="dxa"/>
              <w:bottom w:w="100" w:type="dxa"/>
              <w:right w:w="150" w:type="dxa"/>
            </w:tcMar>
            <w:vAlign w:val="center"/>
          </w:tcPr>
          <w:p w14:paraId="6E9DB4B3">
            <w:pPr>
              <w:spacing w:before="0" w:after="0"/>
              <w:jc w:val="left"/>
            </w:pPr>
            <w:r>
              <w:rPr>
                <w:rFonts w:ascii="Arial" w:hAnsi="Arial"/>
                <w:b w:val="0"/>
                <w:color w:val="333333"/>
                <w:sz w:val="20"/>
              </w:rPr>
              <w:t>Không yêu cầu nhân sự chuyên ngành hóa</w:t>
            </w:r>
          </w:p>
        </w:tc>
      </w:tr>
      <w:tr w14:paraId="760F1E03">
        <w:tblPrEx>
          <w:tblCellMar>
            <w:top w:w="0" w:type="dxa"/>
            <w:left w:w="108" w:type="dxa"/>
            <w:bottom w:w="0" w:type="dxa"/>
            <w:right w:w="108" w:type="dxa"/>
          </w:tblCellMar>
        </w:tblPrEx>
        <w:trPr>
          <w:trHeight w:val="300" w:hRule="atLeast"/>
          <w:jc w:val="center"/>
        </w:trPr>
        <w:tc>
          <w:tcPr>
            <w:tcW w:w="2160" w:type="dxa"/>
            <w:shd w:val="clear" w:color="auto" w:fill="F2F4F7"/>
            <w:tcMar>
              <w:top w:w="100" w:type="dxa"/>
              <w:left w:w="150" w:type="dxa"/>
              <w:bottom w:w="100" w:type="dxa"/>
              <w:right w:w="150" w:type="dxa"/>
            </w:tcMar>
            <w:vAlign w:val="center"/>
          </w:tcPr>
          <w:p w14:paraId="5F8AECE5">
            <w:pPr>
              <w:spacing w:before="0" w:after="0"/>
              <w:jc w:val="left"/>
            </w:pPr>
            <w:r>
              <w:rPr>
                <w:rFonts w:ascii="Arial" w:hAnsi="Arial"/>
                <w:b/>
                <w:color w:val="333333"/>
                <w:sz w:val="20"/>
              </w:rPr>
              <w:t>Nghĩa vụ báo cáo định kỳ</w:t>
            </w:r>
          </w:p>
        </w:tc>
        <w:tc>
          <w:tcPr>
            <w:tcW w:w="3600" w:type="dxa"/>
            <w:shd w:val="clear" w:color="auto" w:fill="F2F4F7"/>
            <w:tcMar>
              <w:top w:w="100" w:type="dxa"/>
              <w:left w:w="150" w:type="dxa"/>
              <w:bottom w:w="100" w:type="dxa"/>
              <w:right w:w="150" w:type="dxa"/>
            </w:tcMar>
            <w:vAlign w:val="center"/>
          </w:tcPr>
          <w:p w14:paraId="3E15C361">
            <w:pPr>
              <w:spacing w:before="0" w:after="0"/>
              <w:jc w:val="left"/>
            </w:pPr>
            <w:r>
              <w:rPr>
                <w:rFonts w:ascii="Arial" w:hAnsi="Arial"/>
                <w:b w:val="0"/>
                <w:color w:val="333333"/>
                <w:sz w:val="20"/>
              </w:rPr>
              <w:t xml:space="preserve">Báo cáo hàng năm trước 15/01 , công bố khối lượng </w:t>
            </w:r>
          </w:p>
        </w:tc>
        <w:tc>
          <w:tcPr>
            <w:tcW w:w="3600" w:type="dxa"/>
            <w:shd w:val="clear" w:color="auto" w:fill="F2F4F7"/>
            <w:tcMar>
              <w:top w:w="100" w:type="dxa"/>
              <w:left w:w="150" w:type="dxa"/>
              <w:bottom w:w="100" w:type="dxa"/>
              <w:right w:w="150" w:type="dxa"/>
            </w:tcMar>
            <w:vAlign w:val="center"/>
          </w:tcPr>
          <w:p w14:paraId="24A05BC0">
            <w:pPr>
              <w:spacing w:before="0" w:after="0"/>
              <w:jc w:val="left"/>
            </w:pPr>
            <w:r>
              <w:rPr>
                <w:rFonts w:ascii="Arial" w:hAnsi="Arial"/>
                <w:b w:val="0"/>
                <w:color w:val="333333"/>
                <w:sz w:val="20"/>
              </w:rPr>
              <w:t>Không phải thực hiện báo cáo chuyên ngành</w:t>
            </w:r>
          </w:p>
        </w:tc>
      </w:tr>
      <w:tr w14:paraId="4906413B">
        <w:tblPrEx>
          <w:tblCellMar>
            <w:top w:w="0" w:type="dxa"/>
            <w:left w:w="108" w:type="dxa"/>
            <w:bottom w:w="0" w:type="dxa"/>
            <w:right w:w="108" w:type="dxa"/>
          </w:tblCellMar>
        </w:tblPrEx>
        <w:trPr>
          <w:trHeight w:val="300" w:hRule="atLeast"/>
          <w:jc w:val="center"/>
        </w:trPr>
        <w:tc>
          <w:tcPr>
            <w:tcW w:w="2160" w:type="dxa"/>
            <w:shd w:val="clear" w:color="auto" w:fill="FFFFFF"/>
            <w:tcMar>
              <w:top w:w="100" w:type="dxa"/>
              <w:left w:w="150" w:type="dxa"/>
              <w:bottom w:w="100" w:type="dxa"/>
              <w:right w:w="150" w:type="dxa"/>
            </w:tcMar>
            <w:vAlign w:val="center"/>
          </w:tcPr>
          <w:p w14:paraId="4D0A6C27">
            <w:pPr>
              <w:spacing w:before="0" w:after="0"/>
              <w:jc w:val="left"/>
            </w:pPr>
            <w:r>
              <w:rPr>
                <w:rFonts w:ascii="Arial" w:hAnsi="Arial"/>
                <w:b/>
                <w:color w:val="333333"/>
                <w:sz w:val="20"/>
              </w:rPr>
              <w:t>Áp lực thanh tra, hậu kiểm bồn bể</w:t>
            </w:r>
          </w:p>
        </w:tc>
        <w:tc>
          <w:tcPr>
            <w:tcW w:w="3600" w:type="dxa"/>
            <w:shd w:val="clear" w:color="auto" w:fill="FFFFFF"/>
            <w:tcMar>
              <w:top w:w="100" w:type="dxa"/>
              <w:left w:w="150" w:type="dxa"/>
              <w:bottom w:w="100" w:type="dxa"/>
              <w:right w:w="150" w:type="dxa"/>
            </w:tcMar>
            <w:vAlign w:val="center"/>
          </w:tcPr>
          <w:p w14:paraId="7A5308FA">
            <w:pPr>
              <w:spacing w:before="0" w:after="0"/>
              <w:jc w:val="left"/>
            </w:pPr>
            <w:r>
              <w:rPr>
                <w:rFonts w:ascii="Arial" w:hAnsi="Arial"/>
                <w:b w:val="0"/>
                <w:color w:val="333333"/>
                <w:sz w:val="20"/>
              </w:rPr>
              <w:t xml:space="preserve">Thường trực tại nhà máy và kho bãi </w:t>
            </w:r>
          </w:p>
        </w:tc>
        <w:tc>
          <w:tcPr>
            <w:tcW w:w="3600" w:type="dxa"/>
            <w:shd w:val="clear" w:color="auto" w:fill="FFFFFF"/>
            <w:tcMar>
              <w:top w:w="100" w:type="dxa"/>
              <w:left w:w="150" w:type="dxa"/>
              <w:bottom w:w="100" w:type="dxa"/>
              <w:right w:w="150" w:type="dxa"/>
            </w:tcMar>
            <w:vAlign w:val="center"/>
          </w:tcPr>
          <w:p w14:paraId="0B84F7EE">
            <w:pPr>
              <w:spacing w:before="0" w:after="0"/>
              <w:jc w:val="left"/>
            </w:pPr>
            <w:r>
              <w:rPr>
                <w:rFonts w:ascii="Arial" w:hAnsi="Arial"/>
                <w:b w:val="0"/>
                <w:color w:val="333333"/>
                <w:sz w:val="20"/>
              </w:rPr>
              <w:t>Hầu như không có</w:t>
            </w:r>
          </w:p>
        </w:tc>
      </w:tr>
    </w:tbl>
    <w:p w14:paraId="45F33B5D">
      <w:pPr>
        <w:keepNext/>
        <w:spacing w:before="320" w:after="120"/>
      </w:pPr>
      <w:r>
        <w:rPr>
          <w:rFonts w:ascii="Arial" w:hAnsi="Arial"/>
          <w:b/>
          <w:color w:val="002060"/>
          <w:sz w:val="28"/>
        </w:rPr>
        <w:t>IV. KIẾN NGHỊ VÀ GIẢI PHÁP ĐỀ XUẤT</w:t>
      </w:r>
    </w:p>
    <w:p w14:paraId="2A4A7FDC">
      <w:pPr>
        <w:spacing w:before="80" w:after="160" w:line="276" w:lineRule="auto"/>
        <w:jc w:val="left"/>
      </w:pPr>
      <w:r>
        <w:rPr>
          <w:rFonts w:ascii="Arial" w:hAnsi="Arial"/>
          <w:color w:val="333333"/>
        </w:rPr>
        <w:t>Để bảo vệ nền sản xuất nội địa, khuyến khích các doanh nghiệp đầu tư công nghệ, nhà xưởng tại Việt Nam thay vì xu hướng đóng cửa nhà máy chuyển sang thuần thương mại nhập khẩu, chúng tôi kính đề nghị Ban Soạn thảo xem xét bổ sung các cơ chế tháo gỡ sau:</w:t>
      </w:r>
    </w:p>
    <w:p w14:paraId="516CF4FA">
      <w:pPr>
        <w:spacing w:before="80" w:after="160" w:line="276" w:lineRule="auto"/>
        <w:jc w:val="left"/>
      </w:pPr>
      <w:r>
        <w:rPr>
          <w:rFonts w:ascii="Arial" w:hAnsi="Arial"/>
          <w:color w:val="333333"/>
        </w:rPr>
        <w:t xml:space="preserve">1.  </w:t>
      </w:r>
      <w:r>
        <w:rPr>
          <w:rFonts w:ascii="Arial" w:hAnsi="Arial"/>
          <w:b/>
          <w:color w:val="000000"/>
        </w:rPr>
        <w:t>Cơ chế liên thông miễn trừ nguyên liệu cho sản xuất sản phẩm loại trừ:</w:t>
      </w:r>
    </w:p>
    <w:p w14:paraId="72F84C94">
      <w:pPr>
        <w:pStyle w:val="23"/>
        <w:spacing w:before="0" w:after="60" w:line="276" w:lineRule="auto"/>
        <w:ind w:left="360"/>
        <w:jc w:val="left"/>
      </w:pPr>
      <w:r>
        <w:rPr>
          <w:rFonts w:ascii="Arial" w:hAnsi="Arial"/>
          <w:color w:val="333333"/>
        </w:rPr>
        <w:t>*Kiến nghị:* Xem xét áp dụng cơ chế đơn giản hóa thủ tục (ví dụ: miễn xin Giấy phép, áp dụng luồng xanh khai báo) đối với các nguyên liệ</w:t>
      </w:r>
      <w:bookmarkStart w:id="0" w:name="_GoBack"/>
      <w:bookmarkEnd w:id="0"/>
      <w:r>
        <w:rPr>
          <w:rFonts w:ascii="Arial" w:hAnsi="Arial"/>
          <w:color w:val="333333"/>
        </w:rPr>
        <w:t xml:space="preserve">u hóa chất thô nhập khẩu về </w:t>
      </w:r>
      <w:r>
        <w:rPr>
          <w:rFonts w:ascii="Arial" w:hAnsi="Arial"/>
          <w:b/>
          <w:color w:val="000000"/>
        </w:rPr>
        <w:t>chỉ phục vụ mục đích sản xuất trực tiếp ra các sản phẩm hoàn chỉnh đã được miễn trừ tại Khoản 17 Điều 1</w:t>
      </w:r>
      <w:r>
        <w:rPr>
          <w:rFonts w:ascii="Arial" w:hAnsi="Arial"/>
          <w:color w:val="333333"/>
        </w:rPr>
        <w:t xml:space="preserve"> (như sơn, mực in, chất kết dính). Doanh nghiệp sản xuất cam kết và chịu trách nhiệm trước pháp luật về mục đích sử dụng.</w:t>
      </w:r>
    </w:p>
    <w:p w14:paraId="781D6C18">
      <w:pPr>
        <w:spacing w:before="80" w:after="160" w:line="276" w:lineRule="auto"/>
        <w:jc w:val="left"/>
      </w:pPr>
      <w:r>
        <w:rPr>
          <w:rFonts w:ascii="Arial" w:hAnsi="Arial"/>
          <w:color w:val="333333"/>
        </w:rPr>
        <w:t xml:space="preserve">2.  </w:t>
      </w:r>
      <w:r>
        <w:rPr>
          <w:rFonts w:ascii="Arial" w:hAnsi="Arial"/>
          <w:b/>
          <w:color w:val="000000"/>
        </w:rPr>
        <w:t>Khôi phục hạn mức miễn trừ đối với mẫu thử nghiệm R&amp;D:</w:t>
      </w:r>
    </w:p>
    <w:p w14:paraId="0508EF97">
      <w:pPr>
        <w:pStyle w:val="23"/>
        <w:spacing w:before="0" w:after="60" w:line="276" w:lineRule="auto"/>
        <w:ind w:left="360"/>
        <w:jc w:val="left"/>
      </w:pPr>
      <w:r>
        <w:rPr>
          <w:rFonts w:ascii="Arial" w:hAnsi="Arial"/>
          <w:color w:val="333333"/>
        </w:rPr>
        <w:t xml:space="preserve">*Kiến nghị:* Giữ nguyên quy định miễn trừ khai báo đối với hóa chất là mẫu thử nghiệm dưới 1kg/lần nhập khẩu (hoặc tối thiểu là dưới 0.5kg/lần) </w:t>
      </w:r>
      <w:r>
        <w:rPr>
          <w:rFonts w:ascii="Arial" w:hAnsi="Arial"/>
          <w:b/>
          <w:color w:val="000000"/>
        </w:rPr>
        <w:t>dành riêng cho các phòng thí nghiệm của các nhà máy sản xuất đã có Giấy chứng nhận đủ điều kiện sản xuất</w:t>
      </w:r>
      <w:r>
        <w:rPr>
          <w:rFonts w:ascii="Arial" w:hAnsi="Arial"/>
          <w:color w:val="333333"/>
        </w:rPr>
        <w:t>. Điều này giúp giải phóng năng lực R&amp;D cho các kỹ sư trong nước mà vẫn đảm bảo không bị lạm dụng để nhập khẩu số lượng lớn thương mại .</w:t>
      </w:r>
    </w:p>
    <w:p w14:paraId="61854DC5">
      <w:pPr>
        <w:spacing w:before="80" w:after="160" w:line="276" w:lineRule="auto"/>
        <w:jc w:val="left"/>
      </w:pPr>
      <w:r>
        <w:rPr>
          <w:rFonts w:ascii="Arial" w:hAnsi="Arial"/>
          <w:color w:val="333333"/>
        </w:rPr>
        <w:t xml:space="preserve">3.  </w:t>
      </w:r>
      <w:r>
        <w:rPr>
          <w:rFonts w:ascii="Arial" w:hAnsi="Arial"/>
          <w:b/>
          <w:color w:val="000000"/>
        </w:rPr>
        <w:t>Áp dụng cơ chế "Hộ chiếu xanh tuân thủ" (Trusted Enterprise Pathway):</w:t>
      </w:r>
    </w:p>
    <w:p w14:paraId="0A8060E0">
      <w:pPr>
        <w:pStyle w:val="23"/>
        <w:spacing w:before="0" w:after="60" w:line="276" w:lineRule="auto"/>
        <w:ind w:left="360"/>
        <w:jc w:val="left"/>
      </w:pPr>
      <w:r>
        <w:rPr>
          <w:rFonts w:ascii="Arial" w:hAnsi="Arial"/>
          <w:color w:val="333333"/>
        </w:rPr>
        <w:t xml:space="preserve">*Kiến nghị:* Đối với các nhà máy sản xuất sơn có lịch sử tuân thủ pháp luật tốt, không xảy ra sự cố an toàn hóa chất hay môi trường trong vòng 3-5 năm liên tục, đề xuất áp dụng cơ chế tự động hóa 100% các thủ tục gia hạn giấy phép, rút ngắn thời gian đăng ký hóa chất mới từ 50 ngày xuống còn </w:t>
      </w:r>
      <w:r>
        <w:rPr>
          <w:rFonts w:ascii="Arial" w:hAnsi="Arial"/>
          <w:b/>
          <w:color w:val="000000"/>
        </w:rPr>
        <w:t>20-30 ngày làm việc</w:t>
      </w:r>
      <w:r>
        <w:rPr>
          <w:rFonts w:ascii="Arial" w:hAnsi="Arial"/>
          <w:color w:val="333333"/>
        </w:rPr>
        <w:t>, đồng thời giảm tần suất hậu kiểm trực tiếp định kỳ tại nhà xưởng.</w:t>
      </w:r>
    </w:p>
    <w:p w14:paraId="1758751F">
      <w:pPr>
        <w:spacing w:before="80" w:after="160" w:line="276" w:lineRule="auto"/>
        <w:jc w:val="left"/>
      </w:pPr>
      <w:r>
        <w:rPr>
          <w:rFonts w:ascii="Arial" w:hAnsi="Arial"/>
          <w:color w:val="333333"/>
        </w:rPr>
        <w:t>Chúng tôi rất mong Ban Soạn thảo cân nhắc kỹ lưỡng các ý kiến đóng góp trên để Dự thảo Nghị định sửa đổi thực sự là động lực thúc đẩy sản xuất nội địa phát triển bền vững, công bằng và phát huy tối đa tinh thần cải cách của Chính phủ.</w:t>
      </w:r>
    </w:p>
    <w:p w14:paraId="0A2772F9">
      <w:pPr>
        <w:spacing w:before="80" w:after="160" w:line="276" w:lineRule="auto"/>
        <w:jc w:val="left"/>
      </w:pPr>
      <w:r>
        <w:rPr>
          <w:rFonts w:ascii="Arial" w:hAnsi="Arial"/>
          <w:b/>
          <w:color w:val="000000"/>
        </w:rPr>
        <w:t>Trân trọng cảm ơn!</w:t>
      </w:r>
    </w:p>
    <w:p w14:paraId="73021279">
      <w:pPr>
        <w:spacing w:before="80" w:after="160" w:line="276" w:lineRule="auto"/>
        <w:jc w:val="left"/>
      </w:pPr>
      <w:r>
        <w:rPr>
          <w:rFonts w:ascii="Arial" w:hAnsi="Arial"/>
          <w:color w:val="333333"/>
        </w:rPr>
        <w:t>*Đại diện tập thể các Doanh nghiệp Sản xuất Sơn nội địa Việt Nam.*</w:t>
      </w: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E249D">
    <w:pPr>
      <w:pStyle w:val="18"/>
      <w:jc w:val="right"/>
    </w:pPr>
    <w:r>
      <w:rPr>
        <w:rFonts w:ascii="Arial" w:hAnsi="Arial"/>
        <w:color w:val="787878"/>
        <w:sz w:val="18"/>
      </w:rPr>
      <w:t xml:space="preserve">Bản kiến nghị - Dự thảo Nghị định 26 | Trang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D33077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2144</Words>
  <Characters>7770</Characters>
  <Lines>0</Lines>
  <Paragraphs>0</Paragraphs>
  <TotalTime>2</TotalTime>
  <ScaleCrop>false</ScaleCrop>
  <LinksUpToDate>false</LinksUpToDate>
  <CharactersWithSpaces>9866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cp:lastModifiedBy>
  <dcterms:modified xsi:type="dcterms:W3CDTF">2026-08-24T15:10:40Z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DA22ADF390BF41CEB2410EA1DD93A700_13</vt:lpwstr>
  </property>
</Properties>
</file>