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F3A5F"/>
          <w:sz w:val="34"/>
        </w:rPr>
        <w:t>BÁO CÁO TỔNG HỢP NGHIÊN CỨU</w:t>
      </w:r>
    </w:p>
    <w:p>
      <w:r>
        <w:rPr>
          <w:b/>
          <w:color w:val="1F3A5F"/>
          <w:sz w:val="27"/>
        </w:rPr>
        <w:t>DỰ THẢO NGHỊ ĐỊNH SỬA ĐỔI NĐ 26/2026/NĐ-CP VÀ NĐ 275/2026/NĐ-CP VỀ QUẢN LÝ HÓA CHẤT</w:t>
      </w:r>
    </w:p>
    <w:p>
      <w:r>
        <w:rPr>
          <w:b/>
          <w:color w:val="1F3A5F"/>
          <w:sz w:val="24"/>
        </w:rPr>
        <w:t>Tác động đối với nhà sản xuất sơn nội địa (BTChem)</w:t>
      </w:r>
    </w:p>
    <w:p>
      <w:r>
        <w:rPr>
          <w:b/>
          <w:sz w:val="20"/>
        </w:rPr>
        <w:t>Nguồn dữ liệu:</w:t>
      </w:r>
    </w:p>
    <w:p>
      <w:pPr>
        <w:pStyle w:val="ListBullet"/>
      </w:pPr>
      <w:r>
        <w:rPr>
          <w:sz w:val="20"/>
        </w:rPr>
        <w:t>Tài liệu nội bộ: `du_thao_bc_phan_tich.txt` (Báo cáo phân tích dự thảo sửa đổi NĐ 26/2026/NĐ-CP, 230 dòng) và `du_thao_gop_y.txt` (Bản kiến nghị góp ý của doanh nghiệp sản xuất sơn nội địa, 49 dòng).</w:t>
      </w:r>
    </w:p>
    <w:p>
      <w:pPr>
        <w:pStyle w:val="ListBullet"/>
      </w:pPr>
      <w:r>
        <w:rPr>
          <w:sz w:val="20"/>
        </w:rPr>
        <w:t>Thông tin bổ sung từ web (tình trạng pháp lý mới nhất, NĐ 275/2026/NĐ-CP).</w:t>
      </w:r>
    </w:p>
    <w:p>
      <w:r>
        <w:rPr>
          <w:b/>
          <w:sz w:val="20"/>
        </w:rPr>
        <w:t>Cảnh báo về tính xác thực:</w:t>
      </w:r>
      <w:r>
        <w:rPr>
          <w:sz w:val="20"/>
        </w:rPr>
        <w:t xml:space="preserve"> Báo cáo nội bộ sử dụng tên văn bản và ngày tháng (NĐ 26/2026/NĐ-CP ban hành 17/01/2026, NĐ 24/25/2026, NQ 19/2026/NQ-CP). Các số liệu về NĐ 275/2026/NĐ-CP được đối chiếu với nguồn báo chính thống, tuy nhiên </w:t>
      </w:r>
      <w:r>
        <w:rPr>
          <w:b/>
          <w:sz w:val="20"/>
        </w:rPr>
        <w:t>mức phạt cụ thể của từng điều khoản cần được tra cứu, đối chiếu trực tiếp trên văn bản gốc</w:t>
      </w:r>
      <w:r>
        <w:rPr>
          <w:sz w:val="20"/>
        </w:rPr>
        <w:t xml:space="preserve"> trước khi sử dụng cho mục đích tuân thủ.</w:t>
      </w:r>
    </w:p>
    <w:p>
      <w:r>
        <w:rPr>
          <w:b/>
          <w:color w:val="1F3A5F"/>
          <w:sz w:val="27"/>
        </w:rPr>
        <w:t>A. TÓM TẮT DỰ THẢO SỬA ĐỔI NĐ 26/2026/NĐ-CP (CÁC ĐIỂM CHÍNH)</w:t>
      </w:r>
    </w:p>
    <w:p>
      <w:r>
        <w:rPr>
          <w:sz w:val="20"/>
        </w:rPr>
        <w:t>Dự thảo Nghị định sửa đổi, bổ sung một số điều của Nghị định số 26/2026/NĐ-CP (quy định chi tiết, hướng dẫn thi hành Luật Hóa chất về quản lý hoạt động hóa chất và hóa chất nguy hiểm trong sản phẩm, hàng hóa) do Bộ Công Thương (Cục Hóa chất) chủ trì soạn thảo, được thúc đẩy bởi Nghị quyết số 19/2026/NQ-CP về đơn giản hóa thủ tục hành chính. Trên các kênh chính thức, Bộ Công Thương đã công bố lấy ý kiến sửa đổi Nghị định về quản lý hóa chất trong hàng hóa (tham khảo Báo Công Thương, Vietnam.vn), đồng thời có dự thảo sửa đổi kèm theo NĐ 24/2026/NĐ-CP về danh mục hóa chất (Cổng Bộ Công Thương). Thời điểm này dự thảo đang trong giai đoạn lấy ý kiến rộng rãi; doanh nghiệp cần theo dõi sát để kịp góp ý và chuẩn bị tuân thủ.</w:t>
      </w:r>
    </w:p>
    <w:p>
      <w:r>
        <w:rPr>
          <w:sz w:val="20"/>
        </w:rPr>
        <w:t>Các nhóm sửa đổi chính theo tài liệu phân tích nội bộ:</w:t>
      </w:r>
    </w:p>
    <w:p>
      <w:r>
        <w:rPr>
          <w:sz w:val="20"/>
        </w:rPr>
        <w:t xml:space="preserve">1. </w:t>
      </w:r>
      <w:r>
        <w:rPr>
          <w:b/>
          <w:sz w:val="20"/>
        </w:rPr>
        <w:t>Tái định vị phạm vi điều chỉnh, loại trừ chồng chéo (Điều 1, 2):</w:t>
      </w:r>
      <w:r>
        <w:rPr>
          <w:sz w:val="20"/>
        </w:rPr>
        <w:t xml:space="preserve"> Bổ sung Khoản 17 Điều 1 loại trừ hoàn toàn khỏi Chương II đối với dược phẩm, mỹ phẩm, thực phẩm, thuốc BVTV, thuốc thú y, thức ăn chăn nuôi, chất phóng xạ, </w:t>
      </w:r>
      <w:r>
        <w:rPr>
          <w:b/>
          <w:sz w:val="20"/>
        </w:rPr>
        <w:t>sơn/mực in/chất kết dính/đồ gia dụng hoàn chỉnh</w:t>
      </w:r>
      <w:r>
        <w:rPr>
          <w:sz w:val="20"/>
        </w:rPr>
        <w:t>, pin, ắc quy, thiết bị y tế, thiết bị điện – điện tử, hóa chất nghiên cứu dưới ngưỡng. Bổ sung định nghĩa chuẩn "Sản phẩm gia dụng" (Khoản 7 Điều 2).</w:t>
      </w:r>
    </w:p>
    <w:p>
      <w:r>
        <w:rPr>
          <w:sz w:val="20"/>
        </w:rPr>
        <w:t xml:space="preserve">2. </w:t>
      </w:r>
      <w:r>
        <w:rPr>
          <w:b/>
          <w:sz w:val="20"/>
        </w:rPr>
        <w:t>Cắt giảm thủ tục hành chính, tinh gọn hồ sơ (Điều 9, 11, 12, 13, 17, 18, 23):</w:t>
      </w:r>
      <w:r>
        <w:rPr>
          <w:sz w:val="20"/>
        </w:rPr>
        <w:t xml:space="preserve"> Bãi bỏ yêu cầu nộp MSDS (đã có trên CSDL quốc gia), văn bản nghiệm thu công trình xây dựng, bản sao Giấy phép sản xuất hóa chất cấm khi xin cấp phép XNK. Rút ngắn chu kỳ xử lý 30–57%: đăng ký hóa chất mới từ 90 ngày → 50 ngày; cấp lại GCN/Giấy phép từ 5 ngày → 3 ngày; cấp phép XNK hóa chất cấm từ 7 ngày → 5 ngày; gia hạn GP XNK từ 5 ngày → 3 ngày.</w:t>
      </w:r>
    </w:p>
    <w:p>
      <w:r>
        <w:rPr>
          <w:sz w:val="20"/>
        </w:rPr>
        <w:t xml:space="preserve">3. </w:t>
      </w:r>
      <w:r>
        <w:rPr>
          <w:b/>
          <w:sz w:val="20"/>
        </w:rPr>
        <w:t>Chuẩn hóa điều kiện kỹ thuật &amp; nhân sự (Điều 4, 5, 7, 8, 16, 19):</w:t>
      </w:r>
      <w:r>
        <w:rPr>
          <w:sz w:val="20"/>
        </w:rPr>
        <w:t xml:space="preserve"> Bãi bỏ toàn bộ điều kiện cơ sở vật chất, kho bãi tại NĐ 26 để dẫn chiếu thống nhất sang NĐ 25/2026/NĐ-CP và QCVN 05A:2020/BCT. Chuẩn hóa bằng cấp người phụ trách an toàn hóa chất: cử nhân (sản xuất) / trung cấp (kinh doanh) ngành hóa học theo Phụ lục III NĐ 25/2026/NĐ-CP.</w:t>
      </w:r>
    </w:p>
    <w:p>
      <w:r>
        <w:rPr>
          <w:sz w:val="20"/>
        </w:rPr>
        <w:t xml:space="preserve">4. </w:t>
      </w:r>
      <w:r>
        <w:rPr>
          <w:b/>
          <w:sz w:val="20"/>
        </w:rPr>
        <w:t>Phân cấp cho địa phương &amp; cơ chế liên tỉnh (Điều 20):</w:t>
      </w:r>
      <w:r>
        <w:rPr>
          <w:sz w:val="20"/>
        </w:rPr>
        <w:t xml:space="preserve"> Phân cấp 100% thẩm quyền cấp GCN đủ điều kiện dịch vụ tồn trữ hóa chất về UBND cấp tỉnh (Sở Công Thương); quy trình phối hợp liên tỉnh 02 ngày chuyển hồ sơ – 07 ngày kiểm tra kho – 03 ngày cấp phép; GCN hiệu lực 5 năm.</w:t>
      </w:r>
    </w:p>
    <w:p>
      <w:r>
        <w:rPr>
          <w:sz w:val="20"/>
        </w:rPr>
        <w:t xml:space="preserve">5. </w:t>
      </w:r>
      <w:r>
        <w:rPr>
          <w:b/>
          <w:sz w:val="20"/>
        </w:rPr>
        <w:t>Tối ưu hóa XNK &amp; bịt lỗ hổng pháp lý (Điều 6, 10, 14, 18, 21):</w:t>
      </w:r>
      <w:r>
        <w:rPr>
          <w:sz w:val="20"/>
        </w:rPr>
        <w:t xml:space="preserve"> Chấp nhận Proforma Invoice; cho phép </w:t>
      </w:r>
      <w:r>
        <w:rPr>
          <w:b/>
          <w:sz w:val="20"/>
        </w:rPr>
        <w:t>tái xuất hàng lỗi/không đạt chuẩn mà không cần Giấy phép kinh doanh</w:t>
      </w:r>
      <w:r>
        <w:rPr>
          <w:sz w:val="20"/>
        </w:rPr>
        <w:t xml:space="preserve">; miễn trừ cấp phép cho bình chữa cháy hoàn chỉnh, hóa chất PTN ≤ 1 mg/lần, XNK tại chỗ/khu phi thuế quan. </w:t>
      </w:r>
      <w:r>
        <w:rPr>
          <w:b/>
          <w:sz w:val="20"/>
        </w:rPr>
        <w:t>Ngược lại, bãi bỏ miễn trừ khai báo lô hàng nhỏ (&lt;10 kg) và mẫu thử (&lt;1 kg)</w:t>
      </w:r>
      <w:r>
        <w:rPr>
          <w:sz w:val="20"/>
        </w:rPr>
        <w:t xml:space="preserve"> → 100% lô hàng hóa chất nhập khẩu phải khai báo điện tử qua Cổng Một cửa Quốc gia; ấn định chấm dứt hoạt động ngay khi nhận quyết định thu hồi giấy phép (Điều 22).</w:t>
      </w:r>
    </w:p>
    <w:p>
      <w:r>
        <w:rPr>
          <w:sz w:val="20"/>
        </w:rPr>
        <w:t xml:space="preserve">6. </w:t>
      </w:r>
      <w:r>
        <w:rPr>
          <w:b/>
          <w:sz w:val="20"/>
        </w:rPr>
        <w:t>Chuyển đổi số &amp; quản trị rủi ro vòng đời (Điều 24, 25):</w:t>
      </w:r>
      <w:r>
        <w:rPr>
          <w:sz w:val="20"/>
        </w:rPr>
        <w:t xml:space="preserve"> Kết nối dữ liệu Hải quan – CSDL chuyên ngành hóa chất thời gian thực; UBND cấp tỉnh cập nhật dữ liệu trước ngày 05 hàng tháng; doanh nghiệp báo cáo trước 15/01 hàng năm; bổ sung nghĩa vụ </w:t>
      </w:r>
      <w:r>
        <w:rPr>
          <w:b/>
          <w:sz w:val="20"/>
        </w:rPr>
        <w:t>công bố khối lượng sản xuất/nhập khẩu sản phẩm chứa hóa chất nguy hiểm hàng năm</w:t>
      </w:r>
      <w:r>
        <w:rPr>
          <w:sz w:val="20"/>
        </w:rPr>
        <w:t xml:space="preserve"> (Điều 25 sửa Điều 29).</w:t>
      </w:r>
    </w:p>
    <w:p>
      <w:r>
        <w:rPr>
          <w:sz w:val="20"/>
        </w:rPr>
        <w:t xml:space="preserve">7. </w:t>
      </w:r>
      <w:r>
        <w:rPr>
          <w:b/>
          <w:sz w:val="20"/>
        </w:rPr>
        <w:t>Chuyển tiếp &amp; hậu kiểm (Điều 26):</w:t>
      </w:r>
      <w:r>
        <w:rPr>
          <w:sz w:val="20"/>
        </w:rPr>
        <w:t xml:space="preserve"> Giấy phép cũ có giá trị đến hết thời hạn; khi cấp giấy phép mới, giấy phép cũ tự động hết hiệu lực và doanh nghiệp nộp lại bản gốc trong 10 ngày làm việc; bổ sung căn cứ thu hồi giấy phép hóa chất hạn chế vi phạm điều kiện an toàn.</w:t>
      </w:r>
    </w:p>
    <w:p>
      <w:r>
        <w:rPr>
          <w:b/>
          <w:color w:val="1F3A5F"/>
          <w:sz w:val="27"/>
        </w:rPr>
        <w:t>B. ĐIỂM BẤT LỢI CHO NHÀ SẢN XUẤT SƠN NỘI ĐỊA (PHÂN TÍCH CHI TIẾT)</w:t>
      </w:r>
    </w:p>
    <w:p>
      <w:r>
        <w:rPr>
          <w:sz w:val="20"/>
        </w:rPr>
        <w:t xml:space="preserve">Theo Bản kiến nghị góp ý của đại diện các doanh nghiệp sản xuất sơn nội địa, dự thảo dù mang tinh thần cải cách tích cực, nhưng có </w:t>
      </w:r>
      <w:r>
        <w:rPr>
          <w:b/>
          <w:sz w:val="20"/>
        </w:rPr>
        <w:t>bất cập mang tính cấu trúc</w:t>
      </w:r>
      <w:r>
        <w:rPr>
          <w:sz w:val="20"/>
        </w:rPr>
        <w:t xml:space="preserve"> đẩy nhà sản xuất trong nước vào thế thua thiệt so với doanh nghiệp thương mại nhập khẩu sơn thành phẩm:</w:t>
      </w:r>
    </w:p>
    <w:p>
      <w:r>
        <w:rPr>
          <w:b/>
          <w:color w:val="1F3A5F"/>
          <w:sz w:val="24"/>
        </w:rPr>
        <w:t>1. Bất bình đẳng gánh nặng thủ tục hành chính</w:t>
      </w:r>
    </w:p>
    <w:p>
      <w:pPr>
        <w:pStyle w:val="ListBullet"/>
      </w:pPr>
      <w:r>
        <w:rPr>
          <w:sz w:val="20"/>
        </w:rPr>
        <w:t>**Sơn thành phẩm nhập khẩu được miễn trừ tuyệt đối:** Khoản 17 Điều 1 loại trừ "sơn, mực in, chất kết dính, đồ gia dụng hoàn chỉnh" khỏi Chương II → công ty thương mại/FDI nhập khẩu nguyên thùng sơn thành phẩm bán thẳng cho nhà máy gỗ **không phải chịu bất kỳ thủ tục hóa chất nào** của Bộ Công Thương.</w:t>
      </w:r>
    </w:p>
    <w:p>
      <w:pPr>
        <w:pStyle w:val="ListBullet"/>
      </w:pPr>
      <w:r>
        <w:rPr>
          <w:sz w:val="20"/>
        </w:rPr>
        <w:t>**Nhà sản xuất nội địa vẫn bị quản lý toàn diện:** Để sản xuất một thùng sơn tương đương, doanh nghiệp nội địa phải nhập từng nguyên liệu thô (dung môi, chất phụ gia polymer, bột độn, nhựa tổng hợp, polyisocyanate...) — đều là hóa chất thuộc diện điều chỉnh của Chương II → phải khai báo hải quan chuyên ngành từng lô, duy trì bộ máy tuân thủ, báo cáo định kỳ, chịu thanh tra điều kiện kho bãi.</w:t>
      </w:r>
    </w:p>
    <w:p>
      <w:r>
        <w:rPr>
          <w:b/>
          <w:color w:val="1F3A5F"/>
          <w:sz w:val="24"/>
        </w:rPr>
        <w:t>2. Chi phí tuân thủ trực tiếp tăng</w:t>
      </w:r>
    </w:p>
    <w:p>
      <w:pPr>
        <w:pStyle w:val="ListBullet"/>
      </w:pPr>
      <w:r>
        <w:rPr>
          <w:sz w:val="20"/>
        </w:rPr>
        <w:t>**Bãi bỏ miễn trừ lô hàng nhỏ/mẫu thử (&lt;10 kg / &lt;1 kg):** Mọi lô nguyên liệu nhập khẩu, kể cả vài trăm gram mẫu thử nghiệm, đều phải khai báo điện tử 100% qua Cổng Một cửa Quốc gia → tăng tần suất thủ tục và chi phí thông quan trên mỗi đơn vị hàng hóa.</w:t>
      </w:r>
    </w:p>
    <w:p>
      <w:pPr>
        <w:pStyle w:val="ListBullet"/>
      </w:pPr>
      <w:r>
        <w:rPr>
          <w:sz w:val="20"/>
        </w:rPr>
        <w:t>**Chi phí nhân sự chuyên môn:** Bắt buộc có người phụ trách an toàn hóa chất bằng cử nhân ngành hóa học theo Danh mục Phụ lục III NĐ 25/2026/NĐ-CP — áp lực chi phí thường trực mà nhà nhập khẩu sơn thành phẩm không phải gánh chịu.</w:t>
      </w:r>
    </w:p>
    <w:p>
      <w:pPr>
        <w:pStyle w:val="ListBullet"/>
      </w:pPr>
      <w:r>
        <w:rPr>
          <w:sz w:val="20"/>
        </w:rPr>
        <w:t>**Nghĩa vụ báo cáo &amp; công bố:** Báo cáo tình hình hoạt động trước 15/01 hàng năm; công bố tổng khối lượng sản xuất, nhập khẩu sản phẩm chứa hóa chất nguy hiểm hàng năm → phải xây dựng hệ thống theo dõi dữ liệu nội bộ.</w:t>
      </w:r>
    </w:p>
    <w:p>
      <w:r>
        <w:rPr>
          <w:b/>
          <w:color w:val="1F3A5F"/>
          <w:sz w:val="24"/>
        </w:rPr>
        <w:t>3. Trở ngại nghiêm trọng cho R&amp;D và thử nghiệm hóa chất mới</w:t>
      </w:r>
    </w:p>
    <w:p>
      <w:pPr>
        <w:pStyle w:val="ListBullet"/>
      </w:pPr>
      <w:r>
        <w:rPr>
          <w:sz w:val="20"/>
        </w:rPr>
        <w:t>**Đăng ký hóa chất mới kéo dài:** Dù rút từ 90 ngày xuống **50 ngày làm việc** (+ 3 ngày cấp văn bản xác nhận), đây vẫn là thời gian chờ quá dài về mặt thương mại. Trong khi đó, đối thủ nước ngoài có thể nhập khẩu sơn thành phẩm đã chứa chất phụ gia mới về bán ngay, **không cần đăng ký gì**.</w:t>
      </w:r>
    </w:p>
    <w:p>
      <w:pPr>
        <w:pStyle w:val="ListBullet"/>
      </w:pPr>
      <w:r>
        <w:rPr>
          <w:sz w:val="20"/>
        </w:rPr>
        <w:t>**Chậm nhịp thị trường (time-to-market):** Trễ 2–3 tháng so với hàng nhập khẩu có thể mất hợp đồng cung ứng dài hạn với nhà máy đồ gỗ xuất khẩu.</w:t>
      </w:r>
    </w:p>
    <w:p>
      <w:pPr>
        <w:pStyle w:val="ListBullet"/>
      </w:pPr>
      <w:r>
        <w:rPr>
          <w:sz w:val="20"/>
        </w:rPr>
        <w:t>**Rào cản thử nghiệm quy mô nhỏ:** Việc bãi bỏ miễn trừ mẫu thử &lt;1 kg khiến nhập vài trăm gram phụ gia về chạy thử PTN cũng phải qua quy trình khai báo đầy đủ → giảm động lực R&amp;D.</w:t>
      </w:r>
    </w:p>
    <w:p>
      <w:r>
        <w:rPr>
          <w:b/>
          <w:color w:val="1F3A5F"/>
          <w:sz w:val="24"/>
        </w:rPr>
        <w:t>4. Chi phí ẩn bào mòn biên lợi nhuận</w:t>
      </w:r>
    </w:p>
    <w:p>
      <w:pPr>
        <w:pStyle w:val="ListBullet"/>
      </w:pPr>
      <w:r>
        <w:rPr>
          <w:sz w:val="20"/>
        </w:rPr>
        <w:t>Chi phí cơ hội do ra mắt sản phẩm chậm 2–3 tháng.</w:t>
      </w:r>
    </w:p>
    <w:p>
      <w:pPr>
        <w:pStyle w:val="ListBullet"/>
      </w:pPr>
      <w:r>
        <w:rPr>
          <w:sz w:val="20"/>
        </w:rPr>
        <w:t>Chi phí nhân lực chuẩn bị MSDS, dịch thuật, nộp hồ sơ đăng ký hóa chất mới cho các chất nhập lần đầu.</w:t>
      </w:r>
    </w:p>
    <w:p>
      <w:pPr>
        <w:pStyle w:val="ListBullet"/>
      </w:pPr>
      <w:r>
        <w:rPr>
          <w:sz w:val="20"/>
        </w:rPr>
        <w:t>**Áp lực hậu kiểm không đối xứng:** Xu hướng "hậu kiểm có mục tiêu" đồng nghĩa nhà máy, kho bãi của doanh nghiệp nội địa chịu tần suất thanh tra thực tế cao hơn (Sở Công Thương, UBND tỉnh, Công an, Môi trường), trong khi văn phòng thương mại nhập khẩu sơn thành phẩm hầu như đứng ngoài tầm kiểm tra chuyên ngành.</w:t>
      </w:r>
    </w:p>
    <w:p>
      <w:r>
        <w:rPr>
          <w:b/>
          <w:color w:val="1F3A5F"/>
          <w:sz w:val="24"/>
        </w:rPr>
        <w:t>Bảng so sánh lợi thế cạnh tranh (trích từ tài liệu góp ý)</w:t>
      </w:r>
    </w:p>
    <w:tbl>
      <w:tblPr>
        <w:tblStyle w:val="TableGrid"/>
        <w:tblW w:type="auto" w:w="0"/>
        <w:tblLook w:firstColumn="1" w:firstRow="1" w:lastColumn="0" w:lastRow="0" w:noHBand="0" w:noVBand="1" w:val="04A0"/>
      </w:tblPr>
      <w:tblGrid>
        <w:gridCol w:w="2880"/>
        <w:gridCol w:w="2880"/>
        <w:gridCol w:w="2880"/>
      </w:tblGrid>
      <w:tr>
        <w:tc>
          <w:tcPr>
            <w:tcW w:type="dxa" w:w="2880"/>
          </w:tcPr>
          <w:p>
            <w:r/>
            <w:r>
              <w:rPr>
                <w:b/>
                <w:sz w:val="18"/>
              </w:rPr>
              <w:t>Tiêu chí</w:t>
            </w:r>
          </w:p>
        </w:tc>
        <w:tc>
          <w:tcPr>
            <w:tcW w:type="dxa" w:w="2880"/>
          </w:tcPr>
          <w:p>
            <w:r/>
            <w:r>
              <w:rPr>
                <w:b/>
                <w:sz w:val="18"/>
              </w:rPr>
              <w:t>SX sơn nội địa (nhập nguyên liệu thô)</w:t>
            </w:r>
          </w:p>
        </w:tc>
        <w:tc>
          <w:tcPr>
            <w:tcW w:type="dxa" w:w="2880"/>
          </w:tcPr>
          <w:p>
            <w:r/>
            <w:r>
              <w:rPr>
                <w:b/>
                <w:sz w:val="18"/>
              </w:rPr>
              <w:t>Nhập khẩu sơn thành phẩm</w:t>
            </w:r>
          </w:p>
        </w:tc>
      </w:tr>
      <w:tr>
        <w:tc>
          <w:tcPr>
            <w:tcW w:type="dxa" w:w="2880"/>
          </w:tcPr>
          <w:p>
            <w:r/>
            <w:r>
              <w:rPr>
                <w:sz w:val="17"/>
              </w:rPr>
              <w:t>Áp dụng Chương II Luật Hóa chất</w:t>
            </w:r>
          </w:p>
        </w:tc>
        <w:tc>
          <w:tcPr>
            <w:tcW w:type="dxa" w:w="2880"/>
          </w:tcPr>
          <w:p>
            <w:r/>
            <w:r>
              <w:rPr>
                <w:sz w:val="17"/>
              </w:rPr>
              <w:t>CÓ (bị quản lý nghiêm ngặt)</w:t>
            </w:r>
          </w:p>
        </w:tc>
        <w:tc>
          <w:tcPr>
            <w:tcW w:type="dxa" w:w="2880"/>
          </w:tcPr>
          <w:p>
            <w:r/>
            <w:r>
              <w:rPr>
                <w:sz w:val="17"/>
              </w:rPr>
              <w:t>KHÔNG (loại trừ hoàn toàn)</w:t>
            </w:r>
          </w:p>
        </w:tc>
      </w:tr>
      <w:tr>
        <w:tc>
          <w:tcPr>
            <w:tcW w:type="dxa" w:w="2880"/>
          </w:tcPr>
          <w:p>
            <w:r/>
            <w:r>
              <w:rPr>
                <w:sz w:val="17"/>
              </w:rPr>
              <w:t>Thủ tục nhập mẫu thử &lt;1 kg</w:t>
            </w:r>
          </w:p>
        </w:tc>
        <w:tc>
          <w:tcPr>
            <w:tcW w:type="dxa" w:w="2880"/>
          </w:tcPr>
          <w:p>
            <w:r/>
            <w:r>
              <w:rPr>
                <w:sz w:val="17"/>
              </w:rPr>
              <w:t>Phải khai báo 100%</w:t>
            </w:r>
          </w:p>
        </w:tc>
        <w:tc>
          <w:tcPr>
            <w:tcW w:type="dxa" w:w="2880"/>
          </w:tcPr>
          <w:p>
            <w:r/>
            <w:r>
              <w:rPr>
                <w:sz w:val="17"/>
              </w:rPr>
              <w:t>Được miễn trừ (nằm trong sơn hoàn chỉnh)</w:t>
            </w:r>
          </w:p>
        </w:tc>
      </w:tr>
      <w:tr>
        <w:tc>
          <w:tcPr>
            <w:tcW w:type="dxa" w:w="2880"/>
          </w:tcPr>
          <w:p>
            <w:r/>
            <w:r>
              <w:rPr>
                <w:sz w:val="17"/>
              </w:rPr>
              <w:t>Đưa nguyên liệu/chất mới vào sử dụng</w:t>
            </w:r>
          </w:p>
        </w:tc>
        <w:tc>
          <w:tcPr>
            <w:tcW w:type="dxa" w:w="2880"/>
          </w:tcPr>
          <w:p>
            <w:r/>
            <w:r>
              <w:rPr>
                <w:sz w:val="17"/>
              </w:rPr>
              <w:t>Đăng ký hóa chất mới (chờ 50 ngày)</w:t>
            </w:r>
          </w:p>
        </w:tc>
        <w:tc>
          <w:tcPr>
            <w:tcW w:type="dxa" w:w="2880"/>
          </w:tcPr>
          <w:p>
            <w:r/>
            <w:r>
              <w:rPr>
                <w:sz w:val="17"/>
              </w:rPr>
              <w:t>Bán ngay, không cần đăng ký</w:t>
            </w:r>
          </w:p>
        </w:tc>
      </w:tr>
      <w:tr>
        <w:tc>
          <w:tcPr>
            <w:tcW w:type="dxa" w:w="2880"/>
          </w:tcPr>
          <w:p>
            <w:r/>
            <w:r>
              <w:rPr>
                <w:sz w:val="17"/>
              </w:rPr>
              <w:t>Chi phí nhân sự chuyên trách</w:t>
            </w:r>
          </w:p>
        </w:tc>
        <w:tc>
          <w:tcPr>
            <w:tcW w:type="dxa" w:w="2880"/>
          </w:tcPr>
          <w:p>
            <w:r/>
            <w:r>
              <w:rPr>
                <w:sz w:val="17"/>
              </w:rPr>
              <w:t>Bắt buộc cử nhân ngành Hóa học</w:t>
            </w:r>
          </w:p>
        </w:tc>
        <w:tc>
          <w:tcPr>
            <w:tcW w:type="dxa" w:w="2880"/>
          </w:tcPr>
          <w:p>
            <w:r/>
            <w:r>
              <w:rPr>
                <w:sz w:val="17"/>
              </w:rPr>
              <w:t>Không yêu cầu</w:t>
            </w:r>
          </w:p>
        </w:tc>
      </w:tr>
      <w:tr>
        <w:tc>
          <w:tcPr>
            <w:tcW w:type="dxa" w:w="2880"/>
          </w:tcPr>
          <w:p>
            <w:r/>
            <w:r>
              <w:rPr>
                <w:sz w:val="17"/>
              </w:rPr>
              <w:t>Nghĩa vụ báo cáo định kỳ</w:t>
            </w:r>
          </w:p>
        </w:tc>
        <w:tc>
          <w:tcPr>
            <w:tcW w:type="dxa" w:w="2880"/>
          </w:tcPr>
          <w:p>
            <w:r/>
            <w:r>
              <w:rPr>
                <w:sz w:val="17"/>
              </w:rPr>
              <w:t>Báo cáo 15/01 + công bố khối lượng</w:t>
            </w:r>
          </w:p>
        </w:tc>
        <w:tc>
          <w:tcPr>
            <w:tcW w:type="dxa" w:w="2880"/>
          </w:tcPr>
          <w:p>
            <w:r/>
            <w:r>
              <w:rPr>
                <w:sz w:val="17"/>
              </w:rPr>
              <w:t>Không phải báo cáo chuyên ngành</w:t>
            </w:r>
          </w:p>
        </w:tc>
      </w:tr>
      <w:tr>
        <w:tc>
          <w:tcPr>
            <w:tcW w:type="dxa" w:w="2880"/>
          </w:tcPr>
          <w:p>
            <w:r/>
            <w:r>
              <w:rPr>
                <w:sz w:val="17"/>
              </w:rPr>
              <w:t>Áp lực thanh tra, hậu kiểm</w:t>
            </w:r>
          </w:p>
        </w:tc>
        <w:tc>
          <w:tcPr>
            <w:tcW w:type="dxa" w:w="2880"/>
          </w:tcPr>
          <w:p>
            <w:r/>
            <w:r>
              <w:rPr>
                <w:sz w:val="17"/>
              </w:rPr>
              <w:t>Thường trực tại nhà máy/kho bãi</w:t>
            </w:r>
          </w:p>
        </w:tc>
        <w:tc>
          <w:tcPr>
            <w:tcW w:type="dxa" w:w="2880"/>
          </w:tcPr>
          <w:p>
            <w:r/>
            <w:r>
              <w:rPr>
                <w:sz w:val="17"/>
              </w:rPr>
              <w:t>Hầu như không có</w:t>
            </w:r>
          </w:p>
        </w:tc>
      </w:tr>
    </w:tbl>
    <w:p/>
    <w:p>
      <w:r>
        <w:rPr>
          <w:b/>
          <w:color w:val="1F3A5F"/>
          <w:sz w:val="27"/>
        </w:rPr>
        <w:t>C. CÁC MỨC PHẠT CHÍNH CỦA NĐ 275/2026/NĐ-CP</w:t>
      </w:r>
    </w:p>
    <w:p>
      <w:r>
        <w:rPr>
          <w:sz w:val="20"/>
        </w:rPr>
        <w:t xml:space="preserve">Nghị định số 275/2026/NĐ-CP ngày 08/7/2026 của Chính phủ quy định xử phạt vi phạm hành chính trong lĩnh vực hóa chất và vật liệu nổ công nghiệp, </w:t>
      </w:r>
      <w:r>
        <w:rPr>
          <w:b/>
          <w:sz w:val="20"/>
        </w:rPr>
        <w:t>có hiệu lực từ ngày 25/8/2026</w:t>
      </w:r>
      <w:r>
        <w:rPr>
          <w:sz w:val="20"/>
        </w:rPr>
        <w:t>, thay thế Nghị định số 71/2019/NĐ-CP (theo Cục Hóa chất, LuatVietnam).</w:t>
      </w:r>
    </w:p>
    <w:p>
      <w:r>
        <w:rPr>
          <w:b/>
          <w:sz w:val="20"/>
        </w:rPr>
        <w:t>Mức phạt chính (đối chiếu nhiều nguồn báo chính thống):</w:t>
      </w:r>
    </w:p>
    <w:tbl>
      <w:tblPr>
        <w:tblStyle w:val="TableGrid"/>
        <w:tblW w:type="auto" w:w="0"/>
        <w:tblLook w:firstColumn="1" w:firstRow="1" w:lastColumn="0" w:lastRow="0" w:noHBand="0" w:noVBand="1" w:val="04A0"/>
      </w:tblPr>
      <w:tblGrid>
        <w:gridCol w:w="4320"/>
        <w:gridCol w:w="4320"/>
      </w:tblGrid>
      <w:tr>
        <w:tc>
          <w:tcPr>
            <w:tcW w:type="dxa" w:w="4320"/>
          </w:tcPr>
          <w:p>
            <w:r/>
            <w:r>
              <w:rPr>
                <w:b/>
                <w:sz w:val="18"/>
              </w:rPr>
              <w:t>Nhóm hành vi / quy định</w:t>
            </w:r>
          </w:p>
        </w:tc>
        <w:tc>
          <w:tcPr>
            <w:tcW w:type="dxa" w:w="4320"/>
          </w:tcPr>
          <w:p>
            <w:r/>
            <w:r>
              <w:rPr>
                <w:b/>
                <w:sz w:val="18"/>
              </w:rPr>
              <w:t>Mức phạt</w:t>
            </w:r>
          </w:p>
        </w:tc>
      </w:tr>
      <w:tr>
        <w:tc>
          <w:tcPr>
            <w:tcW w:type="dxa" w:w="4320"/>
          </w:tcPr>
          <w:p>
            <w:r/>
            <w:r>
              <w:rPr>
                <w:sz w:val="17"/>
              </w:rPr>
              <w:t>Khung phạt tiền tối đa – lĩnh vực hóa chất</w:t>
            </w:r>
          </w:p>
        </w:tc>
        <w:tc>
          <w:tcPr>
            <w:tcW w:type="dxa" w:w="4320"/>
          </w:tcPr>
          <w:p>
            <w:r/>
            <w:r>
              <w:rPr>
                <w:sz w:val="17"/>
              </w:rPr>
              <w:t>Cá nhân đến **50 triệu đồng** ([Báo Pháp luật](https://baophapluat.vn/vi-pham-trong-linh-vuc-hoa-chat-co-the-bi-phat-den-50-trieu-dong-vat-lieu-no-den-100-trieu-dong.html)); tổ chức gấp 2 lần cá nhân</w:t>
            </w:r>
          </w:p>
        </w:tc>
      </w:tr>
      <w:tr>
        <w:tc>
          <w:tcPr>
            <w:tcW w:type="dxa" w:w="4320"/>
          </w:tcPr>
          <w:p>
            <w:r/>
            <w:r>
              <w:rPr>
                <w:sz w:val="17"/>
              </w:rPr>
              <w:t>Khung phạt tiền tối đa – vật liệu nổ công nghiệp</w:t>
            </w:r>
          </w:p>
        </w:tc>
        <w:tc>
          <w:tcPr>
            <w:tcW w:type="dxa" w:w="4320"/>
          </w:tcPr>
          <w:p>
            <w:r/>
            <w:r>
              <w:rPr>
                <w:sz w:val="17"/>
              </w:rPr>
              <w:t>Cá nhân đến **100 triệu đồng** ([Báo Tin tức](https://baotintuc.vn/chinh-sach-va-cuoc-song/ca-nhan-vi-pham-hanh-chinh-trong-linh-vuc-hoa-chat-va-vat-lieu-no-cong-nghiep-co-the-bi-phat-toi-100-trieu-dong-20260709200414600.htm), [LSVN](https://lsvn.vn/ca-nhan-vi-pham-hanh-chinh-trong-linh-vuc-hoa-chat-vat-lieu-no-cong-nghiep-co-the-bi-phat-toi-100-trieu-dong-a175766.html)); tổ chức gấp 2 lần</w:t>
            </w:r>
          </w:p>
        </w:tc>
      </w:tr>
      <w:tr>
        <w:tc>
          <w:tcPr>
            <w:tcW w:type="dxa" w:w="4320"/>
          </w:tcPr>
          <w:p>
            <w:r/>
            <w:r>
              <w:rPr>
                <w:sz w:val="17"/>
              </w:rPr>
              <w:t>Vi phạm nguyên tắc hóa học xanh (lần đầu được quy định)</w:t>
            </w:r>
          </w:p>
        </w:tc>
        <w:tc>
          <w:tcPr>
            <w:tcW w:type="dxa" w:w="4320"/>
          </w:tcPr>
          <w:p>
            <w:r/>
            <w:r>
              <w:rPr>
                <w:sz w:val="17"/>
              </w:rPr>
              <w:t>Cao nhất **20 triệu đồng** ([LuatVietnam](https://luatvietnam.vn/tin-van-ban-moi/lan-dau-quy-dinh-xu-phat-vi-pham-nguyen-tac-hoa-hoc-xanh-cao-nhat-20-trieu-dong-186-110294-article.html))</w:t>
            </w:r>
          </w:p>
        </w:tc>
      </w:tr>
      <w:tr>
        <w:tc>
          <w:tcPr>
            <w:tcW w:type="dxa" w:w="4320"/>
          </w:tcPr>
          <w:p>
            <w:r/>
            <w:r>
              <w:rPr>
                <w:sz w:val="17"/>
              </w:rPr>
              <w:t>Thiếu phương tiện ứng cứu sự cố hóa chất</w:t>
            </w:r>
          </w:p>
        </w:tc>
        <w:tc>
          <w:tcPr>
            <w:tcW w:type="dxa" w:w="4320"/>
          </w:tcPr>
          <w:p>
            <w:r/>
            <w:r>
              <w:rPr>
                <w:sz w:val="17"/>
              </w:rPr>
              <w:t>Đến **30 triệu đồng** ([Báo Pháp luật Plus](https://phapluatplus.baophapluat.vn/doanh-nghiep-thieu-phuong-tien-ung-cuu-su-co-hoa-chat-co-the-bi-phat-30-trieu-dong.html))</w:t>
            </w:r>
          </w:p>
        </w:tc>
      </w:tr>
      <w:tr>
        <w:tc>
          <w:tcPr>
            <w:tcW w:type="dxa" w:w="4320"/>
          </w:tcPr>
          <w:p>
            <w:r/>
            <w:r>
              <w:rPr>
                <w:sz w:val="17"/>
              </w:rPr>
              <w:t>Tồn trữ hóa chất nguy hiểm chưa kê khai</w:t>
            </w:r>
          </w:p>
        </w:tc>
        <w:tc>
          <w:tcPr>
            <w:tcW w:type="dxa" w:w="4320"/>
          </w:tcPr>
          <w:p>
            <w:r/>
            <w:r>
              <w:rPr>
                <w:sz w:val="17"/>
              </w:rPr>
              <w:t>Có quy định xử phạt riêng (mới bổ sung) ([Người đưa tin – Diễn đàn Pháp luật](https://diendanphapluat.nguoiduatin.vn/quy-dinh-moi-ve-xu-phat-doi-voi-hanh-vi-ton-tru-hoa-chat-nguy-hiem-chua-ke-khai-a49459.html))</w:t>
            </w:r>
          </w:p>
        </w:tc>
      </w:tr>
      <w:tr>
        <w:tc>
          <w:tcPr>
            <w:tcW w:type="dxa" w:w="4320"/>
          </w:tcPr>
          <w:p>
            <w:r/>
            <w:r>
              <w:rPr>
                <w:sz w:val="17"/>
              </w:rPr>
              <w:t>Các hành vi vi phạm khác (điều kiện cơ sở vật chất – kỹ thuật, an toàn vận chuyển hóa chất...)</w:t>
            </w:r>
          </w:p>
        </w:tc>
        <w:tc>
          <w:tcPr>
            <w:tcW w:type="dxa" w:w="4320"/>
          </w:tcPr>
          <w:p>
            <w:r/>
            <w:r>
              <w:rPr>
                <w:sz w:val="17"/>
              </w:rPr>
              <w:t>Nhiều khung phạt bậc thang từ vài triệu đến hàng chục triệu đồng, tăng mạnh so với NĐ 71/2019 ([Vietnam.vn](https://www.vietnam.vn/tu-hom-nay-25-8-nhung-vi-pham-ve-hoa-chat-nao-bi-tang-manh-muc-phat), [Thiên nhiên &amp; Môi trường](https://thiennhienmoitruong.vn/muc-phat-vi-pham-quy-dinh-ve-bao-dam-yeu-cau-co-so-vat-chat-ky-thuat-trong-hoat-dong-hoa-chat.html))</w:t>
            </w:r>
          </w:p>
        </w:tc>
      </w:tr>
    </w:tbl>
    <w:p/>
    <w:p>
      <w:r>
        <w:rPr>
          <w:b/>
          <w:sz w:val="20"/>
        </w:rPr>
        <w:t>Các điểm mới nổi bật của NĐ 275/2026 so với NĐ 71/2019</w:t>
      </w:r>
      <w:r>
        <w:rPr>
          <w:sz w:val="20"/>
        </w:rPr>
        <w:t xml:space="preserve"> (theo LuatVietnam và Gia Lai DMS):</w:t>
      </w:r>
    </w:p>
    <w:p>
      <w:pPr>
        <w:pStyle w:val="ListBullet"/>
      </w:pPr>
      <w:r>
        <w:rPr>
          <w:sz w:val="20"/>
        </w:rPr>
        <w:t>Tăng mạnh mức phạt đối với nhiều hành vi trong lĩnh vực hóa chất.</w:t>
      </w:r>
    </w:p>
    <w:p>
      <w:pPr>
        <w:pStyle w:val="ListBullet"/>
      </w:pPr>
      <w:r>
        <w:rPr>
          <w:sz w:val="20"/>
        </w:rPr>
        <w:t>Bổ sung nhóm hành vi vi phạm nguyên tắc hóa học xanh (phạt đến 20 triệu đồng).</w:t>
      </w:r>
    </w:p>
    <w:p>
      <w:pPr>
        <w:pStyle w:val="ListBullet"/>
      </w:pPr>
      <w:r>
        <w:rPr>
          <w:sz w:val="20"/>
        </w:rPr>
        <w:t>Quy định rõ thẩm quyền xử phạt của Công an nhân dân trong lĩnh vực hóa chất và vật liệu nổ công nghiệp.</w:t>
      </w:r>
    </w:p>
    <w:p>
      <w:pPr>
        <w:pStyle w:val="ListBullet"/>
      </w:pPr>
      <w:r>
        <w:rPr>
          <w:sz w:val="20"/>
        </w:rPr>
        <w:t>Bổ sung xử phạt các hành vi tồn trữ hóa chất nguy hiểm chưa kê khai, bảo đảm an toàn vận chuyển hóa chất.</w:t>
      </w:r>
    </w:p>
    <w:p>
      <w:r>
        <w:rPr>
          <w:i/>
          <w:color w:val="C00000"/>
          <w:sz w:val="19"/>
        </w:rPr>
        <w:t>⚠️ **Lưu ý:** Các con số trên được tổng hợp từ báo chí; **mức phạt theo từng điều khoản cụ thể phải đối chiếu văn bản gốc NĐ 275/2026/NĐ-CP** trước khi áp dụng hoặc truyền thông nội bộ.</w:t>
      </w:r>
    </w:p>
    <w:p>
      <w:r>
        <w:rPr>
          <w:b/>
          <w:color w:val="1F3A5F"/>
          <w:sz w:val="27"/>
        </w:rPr>
        <w:t>D. ĐỐI CHIẾU DỰ THẢO NĐ 26 (SỬA ĐỔI) VỚI NĐ 275/2026/NĐ-CP</w:t>
      </w:r>
    </w:p>
    <w:tbl>
      <w:tblPr>
        <w:tblStyle w:val="TableGrid"/>
        <w:tblW w:type="auto" w:w="0"/>
        <w:tblLook w:firstColumn="1" w:firstRow="1" w:lastColumn="0" w:lastRow="0" w:noHBand="0" w:noVBand="1" w:val="04A0"/>
      </w:tblPr>
      <w:tblGrid>
        <w:gridCol w:w="2880"/>
        <w:gridCol w:w="2880"/>
        <w:gridCol w:w="2880"/>
      </w:tblGrid>
      <w:tr>
        <w:tc>
          <w:tcPr>
            <w:tcW w:type="dxa" w:w="2880"/>
          </w:tcPr>
          <w:p>
            <w:r/>
            <w:r>
              <w:rPr>
                <w:b/>
                <w:sz w:val="18"/>
              </w:rPr>
              <w:t>Tiêu chí</w:t>
            </w:r>
          </w:p>
        </w:tc>
        <w:tc>
          <w:tcPr>
            <w:tcW w:type="dxa" w:w="2880"/>
          </w:tcPr>
          <w:p>
            <w:r/>
            <w:r>
              <w:rPr>
                <w:b/>
                <w:sz w:val="18"/>
              </w:rPr>
              <w:t>Dự thảo sửa đổi NĐ 26/2026/NĐ-CP</w:t>
            </w:r>
          </w:p>
        </w:tc>
        <w:tc>
          <w:tcPr>
            <w:tcW w:type="dxa" w:w="2880"/>
          </w:tcPr>
          <w:p>
            <w:r/>
            <w:r>
              <w:rPr>
                <w:b/>
                <w:sz w:val="18"/>
              </w:rPr>
              <w:t>NĐ 275/2026/NĐ-CP (hiệu lực 25/8/2026)</w:t>
            </w:r>
          </w:p>
        </w:tc>
      </w:tr>
      <w:tr>
        <w:tc>
          <w:tcPr>
            <w:tcW w:type="dxa" w:w="2880"/>
          </w:tcPr>
          <w:p>
            <w:r/>
            <w:r>
              <w:rPr>
                <w:sz w:val="17"/>
              </w:rPr>
              <w:t>Bản chất văn bản</w:t>
            </w:r>
          </w:p>
        </w:tc>
        <w:tc>
          <w:tcPr>
            <w:tcW w:type="dxa" w:w="2880"/>
          </w:tcPr>
          <w:p>
            <w:r/>
            <w:r>
              <w:rPr>
                <w:sz w:val="17"/>
              </w:rPr>
              <w:t>Nghị định hướng dẫn thi hành Luật Hóa chất: **quy định hành vi được phép, điều kiện, thủ tục cấp phép/khai báo**</w:t>
            </w:r>
          </w:p>
        </w:tc>
        <w:tc>
          <w:tcPr>
            <w:tcW w:type="dxa" w:w="2880"/>
          </w:tcPr>
          <w:p>
            <w:r/>
            <w:r>
              <w:rPr>
                <w:sz w:val="17"/>
              </w:rPr>
              <w:t>Nghị định **xử phạt vi phạm hành chính**: quy định chế tài khi vi phạm các quy định trên</w:t>
            </w:r>
          </w:p>
        </w:tc>
      </w:tr>
      <w:tr>
        <w:tc>
          <w:tcPr>
            <w:tcW w:type="dxa" w:w="2880"/>
          </w:tcPr>
          <w:p>
            <w:r/>
            <w:r>
              <w:rPr>
                <w:sz w:val="17"/>
              </w:rPr>
              <w:t>Cơ quan soạn thảo</w:t>
            </w:r>
          </w:p>
        </w:tc>
        <w:tc>
          <w:tcPr>
            <w:tcW w:type="dxa" w:w="2880"/>
          </w:tcPr>
          <w:p>
            <w:r/>
            <w:r>
              <w:rPr>
                <w:sz w:val="17"/>
              </w:rPr>
              <w:t>Bộ Công Thương (Cục Hóa chất)</w:t>
            </w:r>
          </w:p>
        </w:tc>
        <w:tc>
          <w:tcPr>
            <w:tcW w:type="dxa" w:w="2880"/>
          </w:tcPr>
          <w:p>
            <w:r/>
            <w:r>
              <w:rPr>
                <w:sz w:val="17"/>
              </w:rPr>
              <w:t>Chính phủ ban hành (Bộ Công Thương chủ trì)</w:t>
            </w:r>
          </w:p>
        </w:tc>
      </w:tr>
      <w:tr>
        <w:tc>
          <w:tcPr>
            <w:tcW w:type="dxa" w:w="2880"/>
          </w:tcPr>
          <w:p>
            <w:r/>
            <w:r>
              <w:rPr>
                <w:sz w:val="17"/>
              </w:rPr>
              <w:t>Tình trạng pháp lý</w:t>
            </w:r>
          </w:p>
        </w:tc>
        <w:tc>
          <w:tcPr>
            <w:tcW w:type="dxa" w:w="2880"/>
          </w:tcPr>
          <w:p>
            <w:r/>
            <w:r>
              <w:rPr>
                <w:sz w:val="17"/>
              </w:rPr>
              <w:t>**Đang lấy ý kiến** (chưa ban hành)</w:t>
            </w:r>
          </w:p>
        </w:tc>
        <w:tc>
          <w:tcPr>
            <w:tcW w:type="dxa" w:w="2880"/>
          </w:tcPr>
          <w:p>
            <w:r/>
            <w:r>
              <w:rPr>
                <w:sz w:val="17"/>
              </w:rPr>
              <w:t>**Đã ban hành 08/7/2026, có hiệu lực 25/8/2026**, thay thế NĐ 71/2019/NĐ-CP</w:t>
            </w:r>
          </w:p>
        </w:tc>
      </w:tr>
      <w:tr>
        <w:tc>
          <w:tcPr>
            <w:tcW w:type="dxa" w:w="2880"/>
          </w:tcPr>
          <w:p>
            <w:r/>
            <w:r>
              <w:rPr>
                <w:sz w:val="17"/>
              </w:rPr>
              <w:t>Phạm vi điều chỉnh</w:t>
            </w:r>
          </w:p>
        </w:tc>
        <w:tc>
          <w:tcPr>
            <w:tcW w:type="dxa" w:w="2880"/>
          </w:tcPr>
          <w:p>
            <w:r/>
            <w:r>
              <w:rPr>
                <w:sz w:val="17"/>
              </w:rPr>
              <w:t>Quản lý hoạt động hóa chất, hóa chất nguy hiểm trong sản phẩm/hàng hóa; loại trừ sơn thành phẩm, mỹ phẩm, dược... khỏi Chương II</w:t>
            </w:r>
          </w:p>
        </w:tc>
        <w:tc>
          <w:tcPr>
            <w:tcW w:type="dxa" w:w="2880"/>
          </w:tcPr>
          <w:p>
            <w:r/>
            <w:r>
              <w:rPr>
                <w:sz w:val="17"/>
              </w:rPr>
              <w:t>Xử phạt VPHC trong lĩnh vực hóa chất và vật liệu nổ công nghiệp</w:t>
            </w:r>
          </w:p>
        </w:tc>
      </w:tr>
      <w:tr>
        <w:tc>
          <w:tcPr>
            <w:tcW w:type="dxa" w:w="2880"/>
          </w:tcPr>
          <w:p>
            <w:r/>
            <w:r>
              <w:rPr>
                <w:sz w:val="17"/>
              </w:rPr>
              <w:t>Mối quan hệ</w:t>
            </w:r>
          </w:p>
        </w:tc>
        <w:tc>
          <w:tcPr>
            <w:tcW w:type="dxa" w:w="2880"/>
          </w:tcPr>
          <w:p>
            <w:r/>
            <w:r>
              <w:rPr>
                <w:sz w:val="17"/>
              </w:rPr>
              <w:t>**Là căn cứ xác định hành vi vi phạm**: bãi bỏ miễn trừ khai báo lô nhỏ → hành vi không khai báo trở thành vi phạm bị xử lý theo NĐ 275</w:t>
            </w:r>
          </w:p>
        </w:tc>
        <w:tc>
          <w:tcPr>
            <w:tcW w:type="dxa" w:w="2880"/>
          </w:tcPr>
          <w:p>
            <w:r/>
            <w:r>
              <w:rPr>
                <w:sz w:val="17"/>
              </w:rPr>
              <w:t>**Là chế tài thực thi**: phạt tiền, đình chỉ, tước giấy phép khi không tuân thủ quy định của NĐ 26 và các NĐ liên quan</w:t>
            </w:r>
          </w:p>
        </w:tc>
      </w:tr>
      <w:tr>
        <w:tc>
          <w:tcPr>
            <w:tcW w:type="dxa" w:w="2880"/>
          </w:tcPr>
          <w:p>
            <w:r/>
            <w:r>
              <w:rPr>
                <w:sz w:val="17"/>
              </w:rPr>
              <w:t>Tác động phối hợp đối với DN sản xuất sơn</w:t>
            </w:r>
          </w:p>
        </w:tc>
        <w:tc>
          <w:tcPr>
            <w:tcW w:type="dxa" w:w="2880"/>
          </w:tcPr>
          <w:p>
            <w:r/>
            <w:r>
              <w:rPr>
                <w:sz w:val="17"/>
              </w:rPr>
              <w:t>Tăng nghĩa vụ (khai báo 100% lô nguyên liệu, công bố khối lượng, nhân sự chuẩn hóa) đồng thời giảm thủ tục (bỏ MSDS giấy, rút ngắn thời hạn)</w:t>
            </w:r>
          </w:p>
        </w:tc>
        <w:tc>
          <w:tcPr>
            <w:tcW w:type="dxa" w:w="2880"/>
          </w:tcPr>
          <w:p>
            <w:r/>
            <w:r>
              <w:rPr>
                <w:sz w:val="17"/>
              </w:rPr>
              <w:t>Vi phạm khai báo/điều kiện/công bố sẽ bị phạt với mức tăng mạnh (tối đa 50–100 triệu đồng/cá nhân, tổ chức gấp đôi)</w:t>
            </w:r>
          </w:p>
        </w:tc>
      </w:tr>
      <w:tr>
        <w:tc>
          <w:tcPr>
            <w:tcW w:type="dxa" w:w="2880"/>
          </w:tcPr>
          <w:p>
            <w:r/>
            <w:r>
              <w:rPr>
                <w:sz w:val="17"/>
              </w:rPr>
              <w:t>Điểm cần lưu ý nhất cho BTChem</w:t>
            </w:r>
          </w:p>
        </w:tc>
        <w:tc>
          <w:tcPr>
            <w:tcW w:type="dxa" w:w="2880"/>
          </w:tcPr>
          <w:p>
            <w:r/>
            <w:r>
              <w:rPr>
                <w:sz w:val="17"/>
              </w:rPr>
              <w:t>Quy định "công bố" (không còn "khai báo") khối lượng hàng năm tạo nghĩa vụ công khai, chịu trách nhiệm pháp lý</w:t>
            </w:r>
          </w:p>
        </w:tc>
        <w:tc>
          <w:tcPr>
            <w:tcW w:type="dxa" w:w="2880"/>
          </w:tcPr>
          <w:p>
            <w:r/>
            <w:r>
              <w:rPr>
                <w:sz w:val="17"/>
              </w:rPr>
              <w:t>Hành vi không khai báo/công bố sai, thiếu điều kiện an toàn là nhóm rủi ro bị phạt nặng nhất với nhà sản xuất</w:t>
            </w:r>
          </w:p>
        </w:tc>
      </w:tr>
    </w:tbl>
    <w:p/>
    <w:p>
      <w:r>
        <w:rPr>
          <w:b/>
          <w:sz w:val="20"/>
        </w:rPr>
        <w:t>Đọc kết hợp:</w:t>
      </w:r>
      <w:r>
        <w:rPr>
          <w:sz w:val="20"/>
        </w:rPr>
        <w:t xml:space="preserve"> NĐ 26 (sửa đổi) quy định *phải làm gì* (khai báo, công bố, điều kiện, bằng cấp nhân sự, chế độ báo cáo); NĐ 275 quy định *nếu không làm thì bị phạt bao nhiêu*. Do đó, khi NĐ 26 sửa đổi được ban hành, các nghĩa vụ mới (khai báo 100% lô hàng, công bố khối lượng, nhân sự theo Phụ lục III NĐ 25) sẽ được thực thi bằng chế tài của NĐ 275. </w:t>
      </w:r>
      <w:r>
        <w:rPr>
          <w:b/>
          <w:sz w:val="20"/>
        </w:rPr>
        <w:t>Rủi ro phạt tập trung vào nhóm hành vi: không khai báo hóa chất nhập khẩu, khai báo sai, không công bố/công bố sai khối lượng, không duy trì điều kiện an toàn – cơ sở vật chất, thiếu phương tiện ứng cứu sự cố.</w:t>
      </w:r>
    </w:p>
    <w:p>
      <w:r>
        <w:rPr>
          <w:b/>
          <w:color w:val="1F3A5F"/>
          <w:sz w:val="27"/>
        </w:rPr>
        <w:t>E. KHUYẾN NGHỊ HÀNH ĐỘNG CHO DOANH NGHIỆP SƠN (BTCHEM)</w:t>
      </w:r>
    </w:p>
    <w:p>
      <w:r>
        <w:rPr>
          <w:b/>
          <w:color w:val="1F3A5F"/>
          <w:sz w:val="24"/>
        </w:rPr>
        <w:t>E.1. Hành động ngay (trong giai đoạn dự thảo đang lấy ý kiến)</w:t>
      </w:r>
    </w:p>
    <w:p>
      <w:r>
        <w:rPr>
          <w:sz w:val="20"/>
        </w:rPr>
        <w:t xml:space="preserve">1. </w:t>
      </w:r>
      <w:r>
        <w:rPr>
          <w:b/>
          <w:sz w:val="20"/>
        </w:rPr>
        <w:t>Tham gia góp ý chính thức:</w:t>
      </w:r>
      <w:r>
        <w:rPr>
          <w:sz w:val="20"/>
        </w:rPr>
        <w:t xml:space="preserve"> Gửi ý kiến đến Ban Soạn thảo (Bộ Công Thương/Cục Hóa chất) qua kênh Cổng thông tin điện tử, đề xuất:</w:t>
      </w:r>
    </w:p>
    <w:p>
      <w:r>
        <w:rPr>
          <w:sz w:val="20"/>
        </w:rPr>
        <w:t xml:space="preserve">   - </w:t>
      </w:r>
      <w:r>
        <w:rPr>
          <w:b/>
          <w:sz w:val="20"/>
        </w:rPr>
        <w:t>Cơ chế liên thông miễn trừ nguyên liệu cho sản xuất sản phẩm loại trừ:</w:t>
      </w:r>
      <w:r>
        <w:rPr>
          <w:sz w:val="20"/>
        </w:rPr>
        <w:t xml:space="preserve"> áp dụng luồng xanh/đơn giản hóa thủ tục cho nguyên liệu thô nhập về chỉ để sản xuất sơn, mực in, chất kết dính (sản phẩm đã được loại trừ tại Khoản 17 Điều 1), doanh nghiệp cam kết chịu trách nhiệm về mục đích sử dụng.</w:t>
      </w:r>
    </w:p>
    <w:p>
      <w:r>
        <w:rPr>
          <w:sz w:val="20"/>
        </w:rPr>
        <w:t xml:space="preserve">   - </w:t>
      </w:r>
      <w:r>
        <w:rPr>
          <w:b/>
          <w:sz w:val="20"/>
        </w:rPr>
        <w:t>Khôi phục hạn mức miễn trừ mẫu thử R&amp;D:</w:t>
      </w:r>
      <w:r>
        <w:rPr>
          <w:sz w:val="20"/>
        </w:rPr>
        <w:t xml:space="preserve"> giữ miễn khai báo hóa chất mẫu thử &lt;1 kg (hoặc tối thiểu &lt;0,5 kg/lần) cho phòng thí nghiệm của nhà máy đã có GCN đủ điều kiện sản xuất.</w:t>
      </w:r>
    </w:p>
    <w:p>
      <w:r>
        <w:rPr>
          <w:sz w:val="20"/>
        </w:rPr>
        <w:t xml:space="preserve">   - </w:t>
      </w:r>
      <w:r>
        <w:rPr>
          <w:b/>
          <w:sz w:val="20"/>
        </w:rPr>
        <w:t>Cơ chế "Hộ chiếu xanh tuân thủ" (Trusted Enterprise Pathway):</w:t>
      </w:r>
      <w:r>
        <w:rPr>
          <w:sz w:val="20"/>
        </w:rPr>
        <w:t xml:space="preserve"> tự động hóa gia hạn giấy phép, rút đăng ký hóa chất mới từ 50 ngày xuống 20–30 ngày, giảm tần suất hậu kiểm cho doanh nghiệp tuân thủ tốt 3–5 năm.</w:t>
      </w:r>
    </w:p>
    <w:p>
      <w:r>
        <w:rPr>
          <w:sz w:val="20"/>
        </w:rPr>
        <w:t xml:space="preserve">2. </w:t>
      </w:r>
      <w:r>
        <w:rPr>
          <w:b/>
          <w:sz w:val="20"/>
        </w:rPr>
        <w:t>Theo dõi sát tiến độ:</w:t>
      </w:r>
      <w:r>
        <w:rPr>
          <w:sz w:val="20"/>
        </w:rPr>
        <w:t xml:space="preserve"> cập nhật trạng thái dự thảo trên website Cục Hóa chất (cuchoachat.gov.vn), Cổng Bộ Công Thương (moit.gov.vn), Cổng Dịch vụ công quốc gia; nắm thời hạn góp ý và dự kiến ngày ban hành để chủ động kế hoạch.</w:t>
      </w:r>
    </w:p>
    <w:p>
      <w:r>
        <w:rPr>
          <w:b/>
          <w:color w:val="1F3A5F"/>
          <w:sz w:val="24"/>
        </w:rPr>
        <w:t>E.2. Chuẩn bị tuân thủ song song (không chờ văn bản ban hành)</w:t>
      </w:r>
    </w:p>
    <w:p>
      <w:r>
        <w:rPr>
          <w:sz w:val="20"/>
        </w:rPr>
        <w:t xml:space="preserve">3. </w:t>
      </w:r>
      <w:r>
        <w:rPr>
          <w:b/>
          <w:sz w:val="20"/>
        </w:rPr>
        <w:t>Rà soát danh mục sản phẩm &amp; phân loại phạm vi điều chỉnh:</w:t>
      </w:r>
      <w:r>
        <w:rPr>
          <w:sz w:val="20"/>
        </w:rPr>
        <w:t xml:space="preserve"> Tách bạch sản phẩm hoàn chỉnh (loại trừ Chương II) với nguyên liệu hóa chất thô (chịu điều chỉnh) để đúng đối tượng khai báo, tránh bỏ sót hoặc khai thừa.</w:t>
      </w:r>
    </w:p>
    <w:p>
      <w:r>
        <w:rPr>
          <w:sz w:val="20"/>
        </w:rPr>
        <w:t xml:space="preserve">4. </w:t>
      </w:r>
      <w:r>
        <w:rPr>
          <w:b/>
          <w:sz w:val="20"/>
        </w:rPr>
        <w:t>Chuẩn hóa nhân sự an toàn hóa chất:</w:t>
      </w:r>
      <w:r>
        <w:rPr>
          <w:sz w:val="20"/>
        </w:rPr>
        <w:t xml:space="preserve"> Đối chiếu bằng cấp người phụ trách an toàn với Danh mục Phụ lục III NĐ 25/2026/NĐ-CP; lập kế hoạch đào tạo bổ sung/tuyển dụng thay thế trước kỳ gia hạn giấy phép.</w:t>
      </w:r>
    </w:p>
    <w:p>
      <w:r>
        <w:rPr>
          <w:sz w:val="20"/>
        </w:rPr>
        <w:t xml:space="preserve">5. </w:t>
      </w:r>
      <w:r>
        <w:rPr>
          <w:b/>
          <w:sz w:val="20"/>
        </w:rPr>
        <w:t>Xây dựng hệ thống dữ liệu nội bộ:</w:t>
      </w:r>
      <w:r>
        <w:rPr>
          <w:sz w:val="20"/>
        </w:rPr>
        <w:t xml:space="preserve"> Theo dõi chính xác khối lượng nguyên liệu hóa chất nhập khẩu và sản xuất hàng năm (bao gồm hóa chất nguy hiểm trong sản phẩm) để sẵn sàng thực hiện nghĩa vụ công bố và báo cáo trước 15/01; chuẩn bị quy trình dùng Proforma Invoice và tái xuất hàng lỗi theo cơ chế mới.</w:t>
      </w:r>
    </w:p>
    <w:p>
      <w:r>
        <w:rPr>
          <w:sz w:val="20"/>
        </w:rPr>
        <w:t xml:space="preserve">6. </w:t>
      </w:r>
      <w:r>
        <w:rPr>
          <w:b/>
          <w:sz w:val="20"/>
        </w:rPr>
        <w:t>Chuẩn hóa quy trình khai báo 100% lô hàng:</w:t>
      </w:r>
      <w:r>
        <w:rPr>
          <w:sz w:val="20"/>
        </w:rPr>
        <w:t xml:space="preserve"> Cập nhật quy trình logistics để khai báo điện tử toàn bộ lô nguyên liệu (kể cả mẫu thử nhỏ) qua Cổng Một cửa Quốc gia, tránh rủi ro bị xử phạt theo NĐ 275/2026/NĐ-CP.</w:t>
      </w:r>
    </w:p>
    <w:p>
      <w:r>
        <w:rPr>
          <w:sz w:val="20"/>
        </w:rPr>
        <w:t xml:space="preserve">7. </w:t>
      </w:r>
      <w:r>
        <w:rPr>
          <w:b/>
          <w:sz w:val="20"/>
        </w:rPr>
        <w:t>Rà soát mức phạt &amp; nội quy tuân thủ:</w:t>
      </w:r>
      <w:r>
        <w:rPr>
          <w:sz w:val="20"/>
        </w:rPr>
        <w:t xml:space="preserve"> Phổ biến cho bộ phận EHS, xuất nhập khẩu, kho vận các mức phạt chính của NĐ 275/2026/NĐ-CP (khai báo sai, thiếu điều kiện an toàn, thiếu phương tiện ứng cứu sự cố, tồn trữ chưa kê khai, vi phạm hóa học xanh) để xây dựng quy trình phòng ngừa.</w:t>
      </w:r>
    </w:p>
    <w:p>
      <w:r>
        <w:rPr>
          <w:b/>
          <w:color w:val="1F3A5F"/>
          <w:sz w:val="24"/>
        </w:rPr>
        <w:t>E.3. Chiến lược trung hạn (sau khi NĐ sửa đổi ban hành)</w:t>
      </w:r>
    </w:p>
    <w:p>
      <w:r>
        <w:rPr>
          <w:sz w:val="20"/>
        </w:rPr>
        <w:t xml:space="preserve">8. </w:t>
      </w:r>
      <w:r>
        <w:rPr>
          <w:b/>
          <w:sz w:val="20"/>
        </w:rPr>
        <w:t>Tận dụng cải cách để giảm chi phí:</w:t>
      </w:r>
      <w:r>
        <w:rPr>
          <w:sz w:val="20"/>
        </w:rPr>
        <w:t xml:space="preserve"> Khai thác tối đa việc bãi bỏ MSDS giấy, văn bản nghiệm thu, rút ngắn thời hạn cấp phép, phân cấp về Sở Công Thương tại địa phương để rút ngắn chu kỳ vận hành.</w:t>
      </w:r>
    </w:p>
    <w:p>
      <w:r>
        <w:rPr>
          <w:sz w:val="20"/>
        </w:rPr>
        <w:t xml:space="preserve">9. </w:t>
      </w:r>
      <w:r>
        <w:rPr>
          <w:b/>
          <w:sz w:val="20"/>
        </w:rPr>
        <w:t>Vận động chính sách dài hạn:</w:t>
      </w:r>
      <w:r>
        <w:rPr>
          <w:sz w:val="20"/>
        </w:rPr>
        <w:t xml:space="preserve"> Phối hợp hiệp hội ngành sơn tiếp tục đề xuất cơ chế công bằng hóa chi phí tuân thủ giữa nhà sản xuất nội địa và nhà nhập khẩu sơn thành phẩm (ví dụ: yêu cầu khai báo/công bố tương ứng đối với sơn nhập khẩu chứa hóa chất nguy hiểm), bảo vệ năng lực sản xuất và R&amp;D trong nước.</w:t>
      </w:r>
    </w:p>
    <w:p>
      <w:r>
        <w:rPr>
          <w:b/>
          <w:color w:val="1F3A5F"/>
          <w:sz w:val="27"/>
        </w:rPr>
        <w:t>TÀI LIỆU THAM KHẢO (WEB)</w:t>
      </w:r>
    </w:p>
    <w:p>
      <w:r>
        <w:rPr>
          <w:sz w:val="20"/>
        </w:rPr>
        <w:t>1. Bộ Công Thương lấy ý kiến sửa đổi Nghị định về quản lý hóa chất trong hàng hóa – Báo Công Thương</w:t>
      </w:r>
    </w:p>
    <w:p>
      <w:r>
        <w:rPr>
          <w:sz w:val="20"/>
        </w:rPr>
        <w:t>2. Bộ Công Thương lấy ý kiến sửa đổi Nghị định về quản lý hóa chất trong hàng hóa – Vietnam.vn</w:t>
      </w:r>
    </w:p>
    <w:p>
      <w:r>
        <w:rPr>
          <w:sz w:val="20"/>
        </w:rPr>
        <w:t>3. Dự thảo Nghị định sửa đổi NĐ 26/2026/NĐ-CP hướng dẫn Luật Hóa chất – Thư viện Pháp luật</w:t>
      </w:r>
    </w:p>
    <w:p>
      <w:r>
        <w:rPr>
          <w:sz w:val="20"/>
        </w:rPr>
        <w:t>4. Dự thảo sửa đổi NĐ 24/2026/NĐ-CP về danh mục hóa chất – Cổng Bộ Công Thương</w:t>
      </w:r>
    </w:p>
    <w:p>
      <w:r>
        <w:rPr>
          <w:sz w:val="20"/>
        </w:rPr>
        <w:t>5. NĐ 275/2026/NĐ-CP ngày 08/7/2026 về xử phạt VPHC lĩnh vực hóa chất và vật liệu nổ công nghiệp – Cục Hóa chất</w:t>
      </w:r>
    </w:p>
    <w:p>
      <w:r>
        <w:rPr>
          <w:sz w:val="20"/>
        </w:rPr>
        <w:t>6. Hôm nay (25/8/2026), Nghị định xử phạt về hóa chất chính thức có hiệu lực – LuatVietnam</w:t>
      </w:r>
    </w:p>
    <w:p>
      <w:r>
        <w:rPr>
          <w:sz w:val="20"/>
        </w:rPr>
        <w:t>7. Điểm mới của NĐ 275/2026 so với NĐ 71/2019 – LuatVietnam</w:t>
      </w:r>
    </w:p>
    <w:p>
      <w:r>
        <w:rPr>
          <w:sz w:val="20"/>
        </w:rPr>
        <w:t>8. Cá nhân vi phạm hóa chất, vật liệu nổ công nghiệp có thể bị phạt tới 100 triệu đồng – Báo Tin tức</w:t>
      </w:r>
    </w:p>
    <w:p>
      <w:r>
        <w:rPr>
          <w:sz w:val="20"/>
        </w:rPr>
        <w:t>9. Vi phạm lĩnh vực hóa chất có thể bị phạt đến 50 triệu đồng, vật liệu nổ đến 100 triệu đồng – Báo Pháp luật</w:t>
      </w:r>
    </w:p>
    <w:p>
      <w:r>
        <w:rPr>
          <w:sz w:val="20"/>
        </w:rPr>
        <w:t>10. Lần đầu quy định xử phạt vi phạm nguyên tắc hóa học xanh, cao nhất 20 triệu đồng – LuatVietnam</w:t>
      </w:r>
    </w:p>
    <w:p>
      <w:r>
        <w:rPr>
          <w:sz w:val="20"/>
        </w:rPr>
        <w:t>11. Doanh nghiệp thiếu phương tiện ứng cứu sự cố hóa chất có thể bị phạt 30 triệu đồng – Báo Pháp luật Plus</w:t>
      </w:r>
    </w:p>
    <w:p>
      <w:r>
        <w:rPr>
          <w:sz w:val="20"/>
        </w:rPr>
        <w:t>12. Những điểm mới về xử phạt theo NĐ 275/2026/NĐ-CP – Gia Lai DMS</w:t>
      </w:r>
    </w:p>
    <w:p>
      <w:r>
        <w:rPr>
          <w:sz w:val="20"/>
        </w:rPr>
        <w:t>13. Quy định mới về xử phạt hành vi tồn trữ hóa chất nguy hiểm chưa kê khai – Diễn đàn Pháp luật</w:t>
      </w:r>
    </w:p>
    <w:p>
      <w:r>
        <w:rPr>
          <w:sz w:val="20"/>
        </w:rPr>
        <w:t>14. Mức phạt vi phạm về bảo đảm cơ sở vật chất – kỹ thuật trong hoạt động hóa chất – Thiên nhiên &amp; Môi trường</w:t>
      </w:r>
    </w:p>
    <w:p>
      <w:r>
        <w:rPr>
          <w:sz w:val="20"/>
        </w:rPr>
        <w:t>*Báo cáo được tổng hợp từ tài liệu nội bộ (báo cáo phân tích dự thảo và bản kiến nghị góp ý của doanh nghiệp sơn) kết hợp tra cứu web. Số liệu mức phạt nên được kiểm chứng trên văn bản gốc trước khi sử dụng.*</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