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0FFA5" w14:textId="77777777" w:rsidR="006A263B" w:rsidRDefault="00000000">
      <w:pPr>
        <w:spacing w:before="240" w:after="120"/>
        <w:jc w:val="center"/>
      </w:pPr>
      <w:r>
        <w:rPr>
          <w:rFonts w:ascii="Times New Roman" w:hAnsi="Times New Roman"/>
          <w:b/>
          <w:color w:val="1B365D"/>
          <w:sz w:val="40"/>
        </w:rPr>
        <w:t>BÁO CÁO PHÂN TÍCH CHUYÊN SÂU &amp; ĐỐI CHIẾU TOÀN DIỆN</w:t>
      </w:r>
      <w:r>
        <w:rPr>
          <w:rFonts w:ascii="Times New Roman" w:hAnsi="Times New Roman"/>
          <w:b/>
          <w:color w:val="1B365D"/>
          <w:sz w:val="40"/>
        </w:rPr>
        <w:br/>
        <w:t>DỰ THẢO NGHỊ ĐỊNH SỬA ĐỔI, BỔ SUNG NGHỊ ĐỊNH SỐ 26/2026/NĐ-CP</w:t>
      </w:r>
      <w:r>
        <w:rPr>
          <w:rFonts w:ascii="Times New Roman" w:hAnsi="Times New Roman"/>
          <w:b/>
          <w:color w:val="1B365D"/>
          <w:sz w:val="40"/>
        </w:rPr>
        <w:br/>
        <w:t>QUY ĐỊNH CHI TIẾT VÀ HƯỚNG DẪN THI HÀNH LUẬT HÓA CHẤT</w:t>
      </w:r>
    </w:p>
    <w:p w14:paraId="292C398E" w14:textId="77777777" w:rsidR="006A263B" w:rsidRDefault="00000000">
      <w:pPr>
        <w:spacing w:after="360"/>
        <w:jc w:val="center"/>
      </w:pPr>
      <w:r>
        <w:rPr>
          <w:rFonts w:ascii="Times New Roman" w:hAnsi="Times New Roman"/>
          <w:i/>
          <w:color w:val="2E75B6"/>
          <w:sz w:val="24"/>
        </w:rPr>
        <w:t>Về quản lý hoạt động hóa chất và hóa chất nguy hiểm trong sản phẩm, hàng hóa</w:t>
      </w:r>
      <w:r>
        <w:rPr>
          <w:rFonts w:ascii="Times New Roman" w:hAnsi="Times New Roman"/>
          <w:i/>
          <w:color w:val="2E75B6"/>
          <w:sz w:val="24"/>
        </w:rPr>
        <w:br/>
        <w:t>(Kèm Bảng so sánh, thuyết minh chi tiết 43 trang tài liệu trích xuất từ văn bản gốc)</w:t>
      </w:r>
    </w:p>
    <w:tbl>
      <w:tblPr>
        <w:tblW w:w="0" w:type="auto"/>
        <w:jc w:val="center"/>
        <w:tblLayout w:type="fixed"/>
        <w:tblLook w:val="04A0" w:firstRow="1" w:lastRow="0" w:firstColumn="1" w:lastColumn="0" w:noHBand="0" w:noVBand="1"/>
      </w:tblPr>
      <w:tblGrid>
        <w:gridCol w:w="9029"/>
      </w:tblGrid>
      <w:tr w:rsidR="006A263B" w14:paraId="3D8EA791" w14:textId="77777777">
        <w:trPr>
          <w:jc w:val="center"/>
        </w:trPr>
        <w:tc>
          <w:tcPr>
            <w:tcW w:w="9029" w:type="dxa"/>
            <w:tcBorders>
              <w:left w:val="single" w:sz="24" w:space="0" w:color="1B365D"/>
            </w:tcBorders>
            <w:shd w:val="clear" w:color="auto" w:fill="F2F4F7"/>
            <w:tcMar>
              <w:top w:w="160" w:type="dxa"/>
              <w:left w:w="200" w:type="dxa"/>
              <w:bottom w:w="160" w:type="dxa"/>
              <w:right w:w="200" w:type="dxa"/>
            </w:tcMar>
          </w:tcPr>
          <w:p w14:paraId="20A8C38C" w14:textId="77777777" w:rsidR="006A263B" w:rsidRDefault="00000000">
            <w:pPr>
              <w:spacing w:before="40" w:after="80"/>
            </w:pPr>
            <w:r>
              <w:rPr>
                <w:rFonts w:ascii="Times New Roman" w:hAnsi="Times New Roman"/>
                <w:b/>
                <w:color w:val="1B365D"/>
              </w:rPr>
              <w:t>THÔNG TIN VĂN BẢN VÀ DỮ LIỆU ĐẦU VÀO</w:t>
            </w:r>
          </w:p>
          <w:p w14:paraId="056285DD" w14:textId="77777777" w:rsidR="006A263B" w:rsidRDefault="00000000">
            <w:pPr>
              <w:spacing w:before="40" w:after="80"/>
            </w:pPr>
            <w:r>
              <w:rPr>
                <w:rFonts w:ascii="Times New Roman" w:hAnsi="Times New Roman"/>
                <w:color w:val="262626"/>
                <w:sz w:val="21"/>
              </w:rPr>
              <w:t>• Cơ quan chủ trì soạn thảo: Bộ Công Thương (Cục Hóa chất).</w:t>
            </w:r>
          </w:p>
          <w:p w14:paraId="2FB62503" w14:textId="77777777" w:rsidR="006A263B" w:rsidRDefault="00000000">
            <w:pPr>
              <w:spacing w:before="40" w:after="80"/>
            </w:pPr>
            <w:r>
              <w:rPr>
                <w:rFonts w:ascii="Times New Roman" w:hAnsi="Times New Roman"/>
                <w:color w:val="262626"/>
                <w:sz w:val="21"/>
              </w:rPr>
              <w:t>• Văn bản đối chiếu gốc: Nghị định số 26/2026/NĐ-CP ngày 17/01/2026 của Chính phủ.</w:t>
            </w:r>
          </w:p>
          <w:p w14:paraId="79B6A0A1" w14:textId="77777777" w:rsidR="006A263B" w:rsidRDefault="00000000">
            <w:pPr>
              <w:spacing w:before="40" w:after="80"/>
            </w:pPr>
            <w:r>
              <w:rPr>
                <w:rFonts w:ascii="Times New Roman" w:hAnsi="Times New Roman"/>
                <w:color w:val="262626"/>
                <w:sz w:val="21"/>
              </w:rPr>
              <w:t>• Hệ thống văn bản liên quan trực tiếp: Luật Hóa chất; Nghị định số 24/2026/NĐ-CP (Danh mục hóa chất); Nghị định số 25/2026/NĐ-CP (Điều kiện kỹ thuật, cơ sở vật chất và an toàn); Nghị định số 33/2024/NĐ-CP (Quản lý hóa chất cấm); Nghị quyết số 19/2026/NQ-CP (Cải cách cắt giảm thủ tục hành chính).</w:t>
            </w:r>
          </w:p>
          <w:p w14:paraId="6E3D37B2" w14:textId="77777777" w:rsidR="006A263B" w:rsidRDefault="00000000">
            <w:pPr>
              <w:spacing w:before="40" w:after="80"/>
            </w:pPr>
            <w:r>
              <w:rPr>
                <w:rFonts w:ascii="Times New Roman" w:hAnsi="Times New Roman"/>
                <w:color w:val="262626"/>
                <w:sz w:val="21"/>
              </w:rPr>
              <w:t>• Mục đích báo cáo: Phân tích toàn diện các thay đổi chính sách, đo lường tác động kinh tế - kỹ thuật - pháp lý, nhận diện cơ hội &amp; rủi ro tuân thủ cho doanh nghiệp và cung cấp toàn văn bảng so sánh 43 trang chuẩn xác từng câu chữ.</w:t>
            </w:r>
          </w:p>
        </w:tc>
      </w:tr>
    </w:tbl>
    <w:p w14:paraId="24BF41EA" w14:textId="77777777" w:rsidR="006A263B" w:rsidRDefault="006A263B"/>
    <w:p w14:paraId="5850787C" w14:textId="77777777" w:rsidR="006A263B" w:rsidRDefault="00000000">
      <w:pPr>
        <w:keepNext/>
        <w:spacing w:before="320" w:after="120"/>
      </w:pPr>
      <w:r>
        <w:rPr>
          <w:rFonts w:ascii="Times New Roman" w:hAnsi="Times New Roman"/>
          <w:b/>
          <w:color w:val="1B365D"/>
          <w:sz w:val="28"/>
        </w:rPr>
        <w:t>TÓM TẮT ĐIỀU HÀNH (EXECUTIVE SUMMARY)</w:t>
      </w:r>
    </w:p>
    <w:p w14:paraId="222B1C05" w14:textId="77777777" w:rsidR="006A263B" w:rsidRDefault="00000000">
      <w:pPr>
        <w:spacing w:after="100"/>
        <w:jc w:val="both"/>
      </w:pPr>
      <w:r>
        <w:rPr>
          <w:rFonts w:ascii="Times New Roman" w:hAnsi="Times New Roman"/>
          <w:color w:val="262626"/>
        </w:rPr>
        <w:t>Dự thảo Nghị định sửa đổi, bổ sung một số điều của Nghị định số 26/2026/NĐ-CP đánh dấu một bước chuyển mình mang tính chiến lược trong tư duy quản lý nhà nước đối với ngành hóa chất Việt Nam. Được thúc đẩy mạnh mẽ bởi định hướng của Chính phủ tại Nghị quyết số 19/2026/NQ-CP về đơn giản hóa thủ tục hành chính, dự thảo này không chỉ tháo gỡ các điểm nghẽn về thủ tục mà còn tái cấu trúc toàn diện mối quan hệ quản trị liên ngành, phân định thẩm quyền trung ương - địa phương, và đẩy mạnh chuyển đổi số trong quản lý an toàn hóa chất.</w:t>
      </w:r>
    </w:p>
    <w:p w14:paraId="6ADE9FAA" w14:textId="77777777" w:rsidR="006A263B" w:rsidRDefault="00000000">
      <w:pPr>
        <w:pStyle w:val="ListBullet"/>
        <w:spacing w:after="60"/>
        <w:jc w:val="both"/>
      </w:pPr>
      <w:r>
        <w:rPr>
          <w:rFonts w:ascii="Times New Roman" w:hAnsi="Times New Roman"/>
          <w:b/>
          <w:color w:val="262626"/>
        </w:rPr>
        <w:t xml:space="preserve">1. </w:t>
      </w:r>
      <w:r>
        <w:rPr>
          <w:rFonts w:ascii="Times New Roman" w:hAnsi="Times New Roman"/>
          <w:color w:val="262626"/>
        </w:rPr>
        <w:t xml:space="preserve">Tái định vị phạm vi điều chỉnh &amp; Loại trừ chồng chéo: </w:t>
      </w:r>
    </w:p>
    <w:p w14:paraId="79A03145" w14:textId="77777777" w:rsidR="006A263B" w:rsidRDefault="00000000">
      <w:pPr>
        <w:spacing w:after="100"/>
        <w:jc w:val="both"/>
      </w:pPr>
      <w:r>
        <w:rPr>
          <w:rFonts w:ascii="Times New Roman" w:hAnsi="Times New Roman"/>
          <w:color w:val="262626"/>
        </w:rPr>
        <w:t>Bổ sung Khoản 17 Điều 1 để loại trừ hoàn toàn các nhóm sản phẩm đã chịu sự điều chỉnh của luật chuyên ngành (dược phẩm, mỹ phẩm, thực phẩm, thuốc BVTV, thú y, thức ăn chăn nuôi, sơn/mực in/đồ gia dụng hoàn chỉnh, pin/thiết bị điện tử...) khỏi phạm vi quản lý của Chương II. Đồng thời chuẩn hóa định nghĩa 'Sản phẩm gia dụng' tại Khoản 7 Điều 2, chấm dứt tình trạng một sản phẩm phải chịu 2-3 tầng kiểm tra chuyên ngành.</w:t>
      </w:r>
    </w:p>
    <w:p w14:paraId="118F0F4B" w14:textId="77777777" w:rsidR="006A263B" w:rsidRDefault="00000000">
      <w:pPr>
        <w:pStyle w:val="ListBullet"/>
        <w:spacing w:after="60"/>
        <w:jc w:val="both"/>
      </w:pPr>
      <w:r>
        <w:rPr>
          <w:rFonts w:ascii="Times New Roman" w:hAnsi="Times New Roman"/>
          <w:b/>
          <w:color w:val="262626"/>
        </w:rPr>
        <w:t xml:space="preserve">2. </w:t>
      </w:r>
      <w:r>
        <w:rPr>
          <w:rFonts w:ascii="Times New Roman" w:hAnsi="Times New Roman"/>
          <w:color w:val="262626"/>
        </w:rPr>
        <w:t xml:space="preserve">Cắt giảm thủ tục hành chính &amp; Tinh gọn hồ sơ thực chất: </w:t>
      </w:r>
    </w:p>
    <w:p w14:paraId="384A6106" w14:textId="77777777" w:rsidR="006A263B" w:rsidRDefault="00000000">
      <w:pPr>
        <w:spacing w:after="100"/>
        <w:jc w:val="both"/>
      </w:pPr>
      <w:r>
        <w:rPr>
          <w:rFonts w:ascii="Times New Roman" w:hAnsi="Times New Roman"/>
          <w:color w:val="262626"/>
        </w:rPr>
        <w:t xml:space="preserve">Bãi bỏ hoàn toàn các yêu cầu trùng lặp như: Bản dữ liệu an toàn hóa chất (MSDS - đã có trên CSDL quốc gia), văn bản nghiệm thu công trình xây dựng (đã thẩm định ở khâu cấp phép xây dựng/môi </w:t>
      </w:r>
      <w:r>
        <w:rPr>
          <w:rFonts w:ascii="Times New Roman" w:hAnsi="Times New Roman"/>
          <w:color w:val="262626"/>
        </w:rPr>
        <w:lastRenderedPageBreak/>
        <w:t>trường), bản sao Giấy phép sản xuất hóa chất cấm khi xin cấp phép XNK. Chu kỳ xử lý hành chính được rút ngắn từ 30% đến 50% (Thẩm định đăng ký hóa chất mới từ 90 ngày xuống 50 ngày; cấp lại GCN/Giấy phép giảm xuống 03 ngày; cấp phép XNK hóa chất cấm từ 7 ngày xuống 5 ngày).</w:t>
      </w:r>
    </w:p>
    <w:p w14:paraId="1879068A" w14:textId="77777777" w:rsidR="006A263B" w:rsidRDefault="00000000">
      <w:pPr>
        <w:pStyle w:val="ListBullet"/>
        <w:spacing w:after="60"/>
        <w:jc w:val="both"/>
      </w:pPr>
      <w:r>
        <w:rPr>
          <w:rFonts w:ascii="Times New Roman" w:hAnsi="Times New Roman"/>
          <w:b/>
          <w:color w:val="262626"/>
        </w:rPr>
        <w:t xml:space="preserve">3. </w:t>
      </w:r>
      <w:r>
        <w:rPr>
          <w:rFonts w:ascii="Times New Roman" w:hAnsi="Times New Roman"/>
          <w:color w:val="262626"/>
        </w:rPr>
        <w:t xml:space="preserve">Chuẩn hóa điều kiện kỹ thuật &amp; Nhân sự chuyên môn: </w:t>
      </w:r>
    </w:p>
    <w:p w14:paraId="75FC8A10" w14:textId="77777777" w:rsidR="006A263B" w:rsidRDefault="00000000">
      <w:pPr>
        <w:spacing w:after="100"/>
        <w:jc w:val="both"/>
      </w:pPr>
      <w:r>
        <w:rPr>
          <w:rFonts w:ascii="Times New Roman" w:hAnsi="Times New Roman"/>
          <w:color w:val="262626"/>
        </w:rPr>
        <w:t>Bãi bỏ toàn bộ các điều kiện về cơ sở vật chất, nhà xưởng, kho bãi tại Nghị định 26/2026/NĐ-CP để dẫn chiếu tập trung, thống nhất sang Nghị định số 25/2026/NĐ-CP và QCVN 05A:2020/BCT. Chuẩn hóa tiêu chuẩn người phụ trách an toàn hóa chất (Bằng cử nhân/trung cấp hóa học theo Danh mục cụ thể tại Phụ lục III Nghị định 25), chấm dứt cách hiểu mơ hồ giữa 'chuyên ngành hóa chất' và 'ngành hóa học'.</w:t>
      </w:r>
    </w:p>
    <w:p w14:paraId="74496EE9" w14:textId="77777777" w:rsidR="006A263B" w:rsidRDefault="00000000">
      <w:pPr>
        <w:pStyle w:val="ListBullet"/>
        <w:spacing w:after="60"/>
        <w:jc w:val="both"/>
      </w:pPr>
      <w:r>
        <w:rPr>
          <w:rFonts w:ascii="Times New Roman" w:hAnsi="Times New Roman"/>
          <w:b/>
          <w:color w:val="262626"/>
        </w:rPr>
        <w:t xml:space="preserve">4. </w:t>
      </w:r>
      <w:r>
        <w:rPr>
          <w:rFonts w:ascii="Times New Roman" w:hAnsi="Times New Roman"/>
          <w:color w:val="262626"/>
        </w:rPr>
        <w:t xml:space="preserve">Phân cấp triệt để cho địa phương &amp; Cơ chế cấp phép liên tỉnh: </w:t>
      </w:r>
    </w:p>
    <w:p w14:paraId="4030DE73" w14:textId="77777777" w:rsidR="006A263B" w:rsidRDefault="00000000">
      <w:pPr>
        <w:spacing w:after="100"/>
        <w:jc w:val="both"/>
      </w:pPr>
      <w:r>
        <w:rPr>
          <w:rFonts w:ascii="Times New Roman" w:hAnsi="Times New Roman"/>
          <w:color w:val="262626"/>
        </w:rPr>
        <w:t>Toàn bộ thẩm quyền cấp Giấy chứng nhận dịch vụ tồn trữ hóa chất được phân cấp 100% về UBND cấp tỉnh/Sở Công Thương (thay vì phân chia theo quy mô Kế hoạch phòng ngừa của Bộ Công Thương). Thiết lập quy trình phối hợp liên tỉnh chặt chẽ (02 ngày chuyển hồ sơ, 07 ngày kiểm tra thực tế kho, 03 ngày cấp phép) khi doanh nghiệp có trụ sở và kho bãi tại hai địa phương khác nhau.</w:t>
      </w:r>
    </w:p>
    <w:p w14:paraId="2DD2BAB8" w14:textId="77777777" w:rsidR="006A263B" w:rsidRDefault="00000000">
      <w:pPr>
        <w:pStyle w:val="ListBullet"/>
        <w:spacing w:after="60"/>
        <w:jc w:val="both"/>
      </w:pPr>
      <w:r>
        <w:rPr>
          <w:rFonts w:ascii="Times New Roman" w:hAnsi="Times New Roman"/>
          <w:b/>
          <w:color w:val="262626"/>
        </w:rPr>
        <w:t xml:space="preserve">5. </w:t>
      </w:r>
      <w:r>
        <w:rPr>
          <w:rFonts w:ascii="Times New Roman" w:hAnsi="Times New Roman"/>
          <w:color w:val="262626"/>
        </w:rPr>
        <w:t xml:space="preserve">Tối ưu hóa xuất nhập khẩu &amp; Bịt kín lỗ hổng pháp lý: </w:t>
      </w:r>
    </w:p>
    <w:p w14:paraId="0851EFA0" w14:textId="77777777" w:rsidR="006A263B" w:rsidRDefault="00000000">
      <w:pPr>
        <w:spacing w:after="100"/>
        <w:jc w:val="both"/>
      </w:pPr>
      <w:r>
        <w:rPr>
          <w:rFonts w:ascii="Times New Roman" w:hAnsi="Times New Roman"/>
          <w:color w:val="262626"/>
        </w:rPr>
        <w:t>Chấp nhận Hóa đơn thương mại hoặc Hóa đơn chiếu lệ (Proforma Invoice); cho phép tái xuất trả hàng lỗi/không đạt chuẩn mà không yêu cầu Giấy phép kinh doanh; bổ sung miễn trừ cho bình chữa cháy hoàn chỉnh, hóa chất dùng trong phòng thí nghiệm (&lt;= 1mg/lần) và hoạt động XNK tại chỗ/khu phi thuế quan. Ngược lại, bãi bỏ miễn trừ khai báo lô hàng nhỏ (&lt;10kg/&lt;1kg) để chuyển sang kiểm soát tự động 100% qua Cổng Một cửa Quốc gia và ấn định thời điểm chấm dứt hoạt động kinh doanh ngay khi nhận quyết định thu hồi giấy phép.</w:t>
      </w:r>
    </w:p>
    <w:p w14:paraId="4A628B3E" w14:textId="77777777" w:rsidR="006A263B" w:rsidRDefault="00000000">
      <w:pPr>
        <w:pStyle w:val="ListBullet"/>
        <w:spacing w:after="60"/>
        <w:jc w:val="both"/>
      </w:pPr>
      <w:r>
        <w:rPr>
          <w:rFonts w:ascii="Times New Roman" w:hAnsi="Times New Roman"/>
          <w:b/>
          <w:color w:val="262626"/>
        </w:rPr>
        <w:t xml:space="preserve">6. </w:t>
      </w:r>
      <w:r>
        <w:rPr>
          <w:rFonts w:ascii="Times New Roman" w:hAnsi="Times New Roman"/>
          <w:color w:val="262626"/>
        </w:rPr>
        <w:t xml:space="preserve">Chuyển đổi số toàn diện &amp; Quản trị rủi ro vòng đời: </w:t>
      </w:r>
    </w:p>
    <w:p w14:paraId="41849341" w14:textId="77777777" w:rsidR="006A263B" w:rsidRDefault="00000000">
      <w:pPr>
        <w:spacing w:after="100"/>
        <w:jc w:val="both"/>
      </w:pPr>
      <w:r>
        <w:rPr>
          <w:rFonts w:ascii="Times New Roman" w:hAnsi="Times New Roman"/>
          <w:color w:val="262626"/>
        </w:rPr>
        <w:t>Tích hợp kết nối trực tiếp dữ liệu Hải quan với CSDL Chuyên ngành Hóa chất theo thời gian thực. Bổ sung nghĩa vụ công bố khối lượng sản xuất/nhập khẩu sản phẩm chứa hóa chất nguy hiểm hàng năm, làm cơ sở khoa học để Nhà nước đánh giá mức độ phơi nhiễm và tính toán rủi ro môi trường quốc gia.</w:t>
      </w:r>
    </w:p>
    <w:p w14:paraId="1611F444" w14:textId="77777777" w:rsidR="006A263B" w:rsidRDefault="00000000">
      <w:pPr>
        <w:keepNext/>
        <w:spacing w:before="320" w:after="120"/>
      </w:pPr>
      <w:r>
        <w:rPr>
          <w:rFonts w:ascii="Times New Roman" w:hAnsi="Times New Roman"/>
          <w:b/>
          <w:color w:val="1B365D"/>
          <w:sz w:val="28"/>
        </w:rPr>
        <w:t>PHẦN I: BỐI CẢNH PHÁP LÝ, SỰ CẦN THIẾT VÀ MỤC TIÊU SỬA ĐỔI</w:t>
      </w:r>
    </w:p>
    <w:p w14:paraId="49D48B67" w14:textId="77777777" w:rsidR="006A263B" w:rsidRDefault="00000000">
      <w:pPr>
        <w:keepNext/>
        <w:spacing w:before="240" w:after="80"/>
      </w:pPr>
      <w:r>
        <w:rPr>
          <w:rFonts w:ascii="Times New Roman" w:hAnsi="Times New Roman"/>
          <w:b/>
          <w:color w:val="2E75B6"/>
          <w:sz w:val="24"/>
        </w:rPr>
        <w:t>1. Bối cảnh pháp lý và Sự vận hành đồng bộ của Hệ sinh thái Luật Hóa chất</w:t>
      </w:r>
    </w:p>
    <w:p w14:paraId="79F4B8D2" w14:textId="77777777" w:rsidR="006A263B" w:rsidRDefault="00000000">
      <w:pPr>
        <w:spacing w:after="100"/>
        <w:jc w:val="both"/>
      </w:pPr>
      <w:r>
        <w:rPr>
          <w:rFonts w:ascii="Times New Roman" w:hAnsi="Times New Roman"/>
          <w:color w:val="262626"/>
        </w:rPr>
        <w:t>Nghị định số 26/2026/NĐ-CP được Chính phủ ban hành ngày 17/01/2026 là văn bản xương sống quy định chi tiết và hướng dẫn thi hành một số điều của Luật Hóa chất về quản lý hoạt động hóa chất và hóa chất nguy hiểm trong sản phẩm, hàng hóa. Cùng thời điểm đó, Chính phủ đã ban hành đồng bộ các Nghị định chuyên biệt tạo thành hệ sinh thái quản lý hóa chất toàn diện:</w:t>
      </w:r>
    </w:p>
    <w:p w14:paraId="3C63384A"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Nghị định số 24/2026/NĐ-CP: Quy định chi tiết các Danh mục hóa chất (Hóa chất sản xuất, kinh doanh có điều kiện; Hóa chất hạn chế sản xuất, kinh doanh; Hóa chất cần kiểm soát đặc biệt; Hóa chất cấm).</w:t>
      </w:r>
    </w:p>
    <w:p w14:paraId="45734D38"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Nghị định số 25/2026/NĐ-CP: Quy định chuyên sâu về điều kiện kỹ thuật, cơ sở vật chất, kho bãi, trang thiết bị an toàn và tiêu chuẩn chuyên môn nhân sự.</w:t>
      </w:r>
    </w:p>
    <w:p w14:paraId="73662B1E"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Nghị định số 33/2024/NĐ-CP: Quy định về quản lý hóa chất thuộc Công ước Cấm vũ khí hóa học và hóa chất cấm đặc thù.</w:t>
      </w:r>
    </w:p>
    <w:p w14:paraId="31910C92"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Nghị quyết số 19/2026/NQ-CP: Quyết nghị của Chính phủ về phương án cắt giảm, đơn giản hóa quy định liên quan đến hoạt động kinh doanh giai đoạn 2026 - 2030.</w:t>
      </w:r>
    </w:p>
    <w:p w14:paraId="249BFB75" w14:textId="77777777" w:rsidR="006A263B" w:rsidRDefault="00000000">
      <w:pPr>
        <w:keepNext/>
        <w:spacing w:before="240" w:after="80"/>
      </w:pPr>
      <w:r>
        <w:rPr>
          <w:rFonts w:ascii="Times New Roman" w:hAnsi="Times New Roman"/>
          <w:b/>
          <w:color w:val="2E75B6"/>
          <w:sz w:val="24"/>
        </w:rPr>
        <w:lastRenderedPageBreak/>
        <w:t>2. Sự cần thiết sửa đổi, bổ sung Nghị định số 26/2026/NĐ-CP</w:t>
      </w:r>
    </w:p>
    <w:p w14:paraId="0F0A76BF" w14:textId="77777777" w:rsidR="006A263B" w:rsidRDefault="00000000">
      <w:pPr>
        <w:spacing w:after="100"/>
        <w:jc w:val="both"/>
      </w:pPr>
      <w:r>
        <w:rPr>
          <w:rFonts w:ascii="Times New Roman" w:hAnsi="Times New Roman"/>
          <w:color w:val="262626"/>
        </w:rPr>
        <w:t>Qua quá trình thực thi và rà soát thực tiễn, cơ quan quản lý và cộng đồng doanh nghiệp đã chỉ ra 4 điểm nghẽn lớn cần được xử lý cấp bách:</w:t>
      </w:r>
    </w:p>
    <w:p w14:paraId="1F7A3C8E" w14:textId="77777777" w:rsidR="006A263B" w:rsidRDefault="00000000">
      <w:pPr>
        <w:pStyle w:val="ListBullet"/>
        <w:spacing w:after="60"/>
        <w:jc w:val="both"/>
      </w:pPr>
      <w:r>
        <w:rPr>
          <w:rFonts w:ascii="Times New Roman" w:hAnsi="Times New Roman"/>
          <w:b/>
          <w:color w:val="262626"/>
        </w:rPr>
        <w:t xml:space="preserve">a) </w:t>
      </w:r>
      <w:r>
        <w:rPr>
          <w:rFonts w:ascii="Times New Roman" w:hAnsi="Times New Roman"/>
          <w:color w:val="262626"/>
        </w:rPr>
        <w:t>Xung đột và trùng lặp quy chuẩn giữa các văn bản: Nghị định 26/2026/NĐ-CP trước đây vẫn quy định lại các điều kiện về cơ sở vật chất, kho chứa, thiết bị thông gió, hệ thống PCCC vốn đã được quy định chi tiết tại Nghị định số 25/2026/NĐ-CP và QCVN 05A:2020/BCT, dẫn đến nguy cơ xung đột thẩm quyền và gây khó khăn cho doanh nghiệp khi chuẩn bị hồ sơ.</w:t>
      </w:r>
    </w:p>
    <w:p w14:paraId="2F71CBC9" w14:textId="77777777" w:rsidR="006A263B" w:rsidRDefault="00000000">
      <w:pPr>
        <w:pStyle w:val="ListBullet"/>
        <w:spacing w:after="60"/>
        <w:jc w:val="both"/>
      </w:pPr>
      <w:r>
        <w:rPr>
          <w:rFonts w:ascii="Times New Roman" w:hAnsi="Times New Roman"/>
          <w:b/>
          <w:color w:val="262626"/>
        </w:rPr>
        <w:t xml:space="preserve">b) </w:t>
      </w:r>
      <w:r>
        <w:rPr>
          <w:rFonts w:ascii="Times New Roman" w:hAnsi="Times New Roman"/>
          <w:color w:val="262626"/>
        </w:rPr>
        <w:t>Chồng chéo phạm vi quản lý với các luật chuyên ngành: Các sản phẩm tiêu dùng cuối cùng như mỹ phẩm, thực phẩm, thuốc bảo vệ thực vật, sơn, mực in, pin, đồ điện tử... vốn đã chịu sự kiểm soát chặt chẽ của Bộ Y tế, Bộ Nông nghiệp &amp; PTNT, Bộ Khoa học &amp; Công nghệ lại tiếp tục bị điều chỉnh bởi các thủ tục cấp phép hóa chất tại Chương II Nghị định 26, tạo gánh nặng kiểm tra trùng lặp.</w:t>
      </w:r>
    </w:p>
    <w:p w14:paraId="3BA39A56" w14:textId="77777777" w:rsidR="006A263B" w:rsidRDefault="00000000">
      <w:pPr>
        <w:pStyle w:val="ListBullet"/>
        <w:spacing w:after="60"/>
        <w:jc w:val="both"/>
      </w:pPr>
      <w:r>
        <w:rPr>
          <w:rFonts w:ascii="Times New Roman" w:hAnsi="Times New Roman"/>
          <w:b/>
          <w:color w:val="262626"/>
        </w:rPr>
        <w:t xml:space="preserve">c) </w:t>
      </w:r>
      <w:r>
        <w:rPr>
          <w:rFonts w:ascii="Times New Roman" w:hAnsi="Times New Roman"/>
          <w:color w:val="262626"/>
        </w:rPr>
        <w:t>Chi phí thời gian và gánh nặng giấy tờ hành chính: Nhiều loại giấy tờ như Bản dữ liệu an toàn (MSDS), văn bản nghiệm thu công trình xây dựng, bản sao giấy phép sản xuất... vẫn bị yêu cầu nộp lặp lại dù cơ quan quản lý đã có thể tra cứu trực tiếp trên Cổng Dịch vụ công hoặc Cơ sở dữ liệu quốc gia. Thời gian thẩm định một số thủ tục (như đăng ký hóa chất mới kéo dài 90 ngày) gây cản trở tốc độ đổi mới sáng tạo của doanh nghiệp.</w:t>
      </w:r>
    </w:p>
    <w:p w14:paraId="0E64B78D" w14:textId="77777777" w:rsidR="006A263B" w:rsidRDefault="00000000">
      <w:pPr>
        <w:pStyle w:val="ListBullet"/>
        <w:spacing w:after="60"/>
        <w:jc w:val="both"/>
      </w:pPr>
      <w:r>
        <w:rPr>
          <w:rFonts w:ascii="Times New Roman" w:hAnsi="Times New Roman"/>
          <w:b/>
          <w:color w:val="262626"/>
        </w:rPr>
        <w:t xml:space="preserve">d) </w:t>
      </w:r>
      <w:r>
        <w:rPr>
          <w:rFonts w:ascii="Times New Roman" w:hAnsi="Times New Roman"/>
          <w:color w:val="262626"/>
        </w:rPr>
        <w:t>Khoảng trống pháp lý trong quản lý hậu kiểm và thu hồi giấy phép: Thiếu quy định ấn định thời điểm chấm dứt hiệu lực hoạt động khi bị thu hồi giấy phép; cơ chế giải quyết hàng hóa bị đối tác từ chối nhập khẩu (tái nhập/tái xuất) chưa có quy định mở, đẩy doanh nghiệp vào tình thế vi phạm pháp luật ngoài ý muốn.</w:t>
      </w:r>
    </w:p>
    <w:p w14:paraId="48E25BB0" w14:textId="77777777" w:rsidR="006A263B" w:rsidRDefault="00000000">
      <w:pPr>
        <w:keepNext/>
        <w:spacing w:before="240" w:after="80"/>
      </w:pPr>
      <w:r>
        <w:rPr>
          <w:rFonts w:ascii="Times New Roman" w:hAnsi="Times New Roman"/>
          <w:b/>
          <w:color w:val="2E75B6"/>
          <w:sz w:val="24"/>
        </w:rPr>
        <w:t>3. Mục tiêu và Quan điểm chỉ đạo xây dựng Dự thảo</w:t>
      </w:r>
    </w:p>
    <w:p w14:paraId="2EE44302"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Mục tiêu tổng quát: Tháo gỡ triệt để các rào cản hành chính không cần thiết, chuyển đổi phương thức quản lý từ 'tiền kiểm nặng nề' sang 'kết hợp tiền kiểm có trọng tâm với hậu kiểm số hóa', giảm thiểu chi phí tuân thủ cho nền kinh tế.</w:t>
      </w:r>
    </w:p>
    <w:p w14:paraId="05EB75ED"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Nguyên tắc 'Một cửa - Một đầu mối': Xác lập Bộ Công Thương là đầu mối điều phối chung, đồng thời phân định rành mạch trách nhiệm quản lý của từng Bộ chuyên ngành và UBND cấp tỉnh.</w:t>
      </w:r>
    </w:p>
    <w:p w14:paraId="3517C28A"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Kiểm soát thực chất dựa trên đánh giá rủi ro: Tập trung nguồn lực kiểm soát 100% đối với các hóa chất nguy cơ cao (hóa chất cấm, tiền chất, hóa chất cần kiểm soát đặc biệt), đồng thời giải phóng tối đa các mặt hàng rủi ro cực thấp (hóa chất thí nghiệm &lt;= 1mg, hỗn hợp hóa chất nồng độ cực nhỏ, sản phẩm gia dụng hoàn chỉnh).</w:t>
      </w:r>
    </w:p>
    <w:p w14:paraId="6B8EFFDF" w14:textId="77777777" w:rsidR="006A263B" w:rsidRDefault="00000000">
      <w:pPr>
        <w:keepNext/>
        <w:spacing w:before="320" w:after="120"/>
      </w:pPr>
      <w:r>
        <w:rPr>
          <w:rFonts w:ascii="Times New Roman" w:hAnsi="Times New Roman"/>
          <w:b/>
          <w:color w:val="1B365D"/>
          <w:sz w:val="28"/>
        </w:rPr>
        <w:t>PHẦN II: PHÂN TÍCH CHUYÊN SÂU CÁC TRỤ CỘT CẢI CÁCH &amp; NHÓM CHÍNH SÁCH</w:t>
      </w:r>
    </w:p>
    <w:p w14:paraId="67FB02BF" w14:textId="77777777" w:rsidR="006A263B" w:rsidRDefault="00000000">
      <w:pPr>
        <w:keepNext/>
        <w:spacing w:before="240" w:after="80"/>
      </w:pPr>
      <w:r>
        <w:rPr>
          <w:rFonts w:ascii="Times New Roman" w:hAnsi="Times New Roman"/>
          <w:b/>
          <w:color w:val="2E75B6"/>
          <w:sz w:val="24"/>
        </w:rPr>
        <w:t>1. Trụ cột 1: Phân định phạm vi điều chỉnh &amp; Cơ chế điều phối liên ngành (Điều 1, 2, 3)</w:t>
      </w:r>
    </w:p>
    <w:p w14:paraId="23A55997" w14:textId="77777777" w:rsidR="006A263B" w:rsidRDefault="00000000">
      <w:pPr>
        <w:spacing w:after="100"/>
        <w:jc w:val="both"/>
      </w:pPr>
      <w:r>
        <w:rPr>
          <w:rFonts w:ascii="Times New Roman" w:hAnsi="Times New Roman"/>
          <w:color w:val="262626"/>
        </w:rPr>
        <w:t>Cải cách mang tính đột phá đầu tiên là việc bổ sung Khoản 17 Điều 1 và bổ sung Khoản 7 Điều 2:</w:t>
      </w:r>
    </w:p>
    <w:p w14:paraId="196AC788"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 xml:space="preserve">Loại trừ hoàn toàn khỏi Chương II: Dự thảo đã gom toàn bộ danh mục sản phẩm tiêu dùng và hàng hóa chuyên ngành (trước đây nằm rải rác tại các điều kiện miễn trừ) đưa thẳng lên Khoản 17 Điều 1. Theo đó, Chương II (quản lý hoạt động sản xuất, kinh doanh, xuất nhập khẩu hóa chất) KHÔNG ÁP DỤNG đối với: (1) Dược phẩm; (2) Mỹ phẩm; (3) Thực phẩm, phụ gia thực phẩm, chất hỗ trợ chế biến thực phẩm; (4) Thuốc BVTV, thuốc thú y, thức ăn chăn nuôi; (5) Chất phóng </w:t>
      </w:r>
      <w:r>
        <w:rPr>
          <w:rFonts w:ascii="Times New Roman" w:hAnsi="Times New Roman"/>
          <w:color w:val="262626"/>
        </w:rPr>
        <w:lastRenderedPageBreak/>
        <w:t>xạ, vật liệu hạt nhân; (6) Sản phẩm hoàn chỉnh như sơn, mực in, chất kết dính, đồ gia dụng; (7) Pin, ắc quy, thiết bị y tế, thiết bị điện - điện tử.</w:t>
      </w:r>
    </w:p>
    <w:p w14:paraId="30755F6F"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Định nghĩa pháp lý 'Sản phẩm gia dụng' (Khoản 7 Điều 2): Được định nghĩa chuẩn xác là 'sản phẩm hoàn chỉnh phục vụ nhu cầu sinh hoạt hàng ngày trong gia đình hoặc cá nhân'. Việc định nghĩa này tạo hành lang pháp lý vững chắc để phân biệt giữa hóa chất nguyên liệu công nghiệp và hàng hóa tiêu dùng lưu thông thương mại.</w:t>
      </w:r>
    </w:p>
    <w:p w14:paraId="21DAF38D"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Phân công trách nhiệm quản lý nhà nước (Điều 3): Xác định rõ Bộ Công Thương chủ trì thống nhất, Bộ Tài chính chia sẻ dữ liệu hải quan thời gian thực, Bộ Công an/Quốc phòng quản lý tiền chất thuốc nổ và hóa chất an ninh, Bộ Y tế quản lý hóa chất diệt khuẩn/dược dụng, và UBND cấp tỉnh thực hiện quản lý, hậu kiểm trực tiếp trên địa bàn.</w:t>
      </w:r>
    </w:p>
    <w:p w14:paraId="67BE33F9" w14:textId="77777777" w:rsidR="006A263B" w:rsidRDefault="00000000">
      <w:pPr>
        <w:keepNext/>
        <w:spacing w:before="240" w:after="80"/>
      </w:pPr>
      <w:r>
        <w:rPr>
          <w:rFonts w:ascii="Times New Roman" w:hAnsi="Times New Roman"/>
          <w:b/>
          <w:color w:val="2E75B6"/>
          <w:sz w:val="24"/>
        </w:rPr>
        <w:t>2. Trụ cột 2: Chuẩn hóa điều kiện kinh doanh &amp; Bãi bỏ rào cản trùng lặp (Điều 4, 5, 7, 8, 16, 19)</w:t>
      </w:r>
    </w:p>
    <w:p w14:paraId="06DCC9CD" w14:textId="77777777" w:rsidR="006A263B" w:rsidRDefault="00000000">
      <w:pPr>
        <w:spacing w:after="100"/>
        <w:jc w:val="both"/>
      </w:pPr>
      <w:r>
        <w:rPr>
          <w:rFonts w:ascii="Times New Roman" w:hAnsi="Times New Roman"/>
          <w:color w:val="262626"/>
        </w:rPr>
        <w:t>Dự thảo đã thực hiện cuộc 'đại phẫu' về điều kiện đầu tư kinh doanh:</w:t>
      </w:r>
    </w:p>
    <w:p w14:paraId="5F3677FD"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Triệt tiêu điều kiện cơ sở vật chất trùng lặp: Bãi bỏ toàn bộ các điều khoản mô tả kỹ thuật kho bãi, nhà xưởng tại Điều 4, 5, 7, 8, 16, 19 của Nghị định 26. Toàn bộ các yêu cầu này được dẫn chiếu thống nhất về Nghị định số 25/2026/NĐ-CP và QCVN 05A:2020/BCT, đảm bảo không có hai bộ tiêu chuẩn kỹ thuật cùng tồn tại song song.</w:t>
      </w:r>
    </w:p>
    <w:p w14:paraId="47A61FCB"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Chuẩn hóa danh mục bằng cấp nhân sự chuyên trách an toàn: Trước đây, quy định yêu cầu 'có bằng đại học/trung cấp chuyên ngành hóa chất' dẫn đến sự tùy nghi giải thích giữa các cơ quan cấp phép (ví dụ: ngành Sư phạm Hóa, Công nghệ Vật liệu, Kỹ thuật Hóa học có được chấp nhận hay không). Dự thảo đã sửa đổi thành: 'Có bằng cử nhân/trung cấp ngành hóa học theo Danh mục quy định tại Phụ lục III Nghị định số 25/2026/NĐ-CP', tạo sự minh bạch tuyệt đối.</w:t>
      </w:r>
    </w:p>
    <w:p w14:paraId="4B1E8464" w14:textId="77777777" w:rsidR="006A263B" w:rsidRDefault="00000000">
      <w:pPr>
        <w:keepNext/>
        <w:spacing w:before="240" w:after="80"/>
      </w:pPr>
      <w:r>
        <w:rPr>
          <w:rFonts w:ascii="Times New Roman" w:hAnsi="Times New Roman"/>
          <w:b/>
          <w:color w:val="2E75B6"/>
          <w:sz w:val="24"/>
        </w:rPr>
        <w:t>3. Trụ cột 3: Đơn giản hóa thành phần hồ sơ &amp; Tối ưu hóa chu kỳ cấp phép (Điều 9, 11, 12, 13, 17, 18, 23)</w:t>
      </w:r>
    </w:p>
    <w:p w14:paraId="6CC9BB67" w14:textId="77777777" w:rsidR="006A263B" w:rsidRDefault="00000000">
      <w:pPr>
        <w:spacing w:after="100"/>
        <w:jc w:val="both"/>
      </w:pPr>
      <w:r>
        <w:rPr>
          <w:rFonts w:ascii="Times New Roman" w:hAnsi="Times New Roman"/>
          <w:color w:val="262626"/>
        </w:rPr>
        <w:t>Nhằm thực hiện phương án đơn giản hóa tại Nghị quyết số 19/2026/NQ-CP, quy trình thủ tục hành chính được tái thiết kế triệt để:</w:t>
      </w:r>
    </w:p>
    <w:tbl>
      <w:tblPr>
        <w:tblW w:w="0" w:type="auto"/>
        <w:jc w:val="center"/>
        <w:tblBorders>
          <w:top w:val="single" w:sz="4" w:space="0" w:color="D3D3D3"/>
          <w:bottom w:val="single" w:sz="4" w:space="0" w:color="D3D3D3"/>
          <w:insideH w:val="single" w:sz="4" w:space="0" w:color="D3D3D3"/>
          <w:insideV w:val="single" w:sz="4" w:space="0" w:color="D3D3D3"/>
        </w:tblBorders>
        <w:tblLayout w:type="fixed"/>
        <w:tblLook w:val="04A0" w:firstRow="1" w:lastRow="0" w:firstColumn="1" w:lastColumn="0" w:noHBand="0" w:noVBand="1"/>
      </w:tblPr>
      <w:tblGrid>
        <w:gridCol w:w="3168"/>
        <w:gridCol w:w="2160"/>
        <w:gridCol w:w="2160"/>
        <w:gridCol w:w="2304"/>
      </w:tblGrid>
      <w:tr w:rsidR="006A263B" w14:paraId="65788672" w14:textId="77777777">
        <w:trPr>
          <w:jc w:val="center"/>
        </w:trPr>
        <w:tc>
          <w:tcPr>
            <w:tcW w:w="3168" w:type="dxa"/>
            <w:shd w:val="clear" w:color="auto" w:fill="1B365D"/>
            <w:tcMar>
              <w:top w:w="140" w:type="dxa"/>
              <w:left w:w="140" w:type="dxa"/>
              <w:bottom w:w="140" w:type="dxa"/>
              <w:right w:w="140" w:type="dxa"/>
            </w:tcMar>
          </w:tcPr>
          <w:p w14:paraId="12275EC6" w14:textId="77777777" w:rsidR="006A263B" w:rsidRDefault="00000000">
            <w:pPr>
              <w:jc w:val="center"/>
            </w:pPr>
            <w:r>
              <w:rPr>
                <w:rFonts w:ascii="Times New Roman" w:hAnsi="Times New Roman"/>
                <w:b/>
                <w:color w:val="FFFFFF"/>
                <w:sz w:val="20"/>
              </w:rPr>
              <w:t>Thủ tục hành chính</w:t>
            </w:r>
          </w:p>
        </w:tc>
        <w:tc>
          <w:tcPr>
            <w:tcW w:w="2160" w:type="dxa"/>
            <w:shd w:val="clear" w:color="auto" w:fill="1B365D"/>
            <w:tcMar>
              <w:top w:w="140" w:type="dxa"/>
              <w:left w:w="140" w:type="dxa"/>
              <w:bottom w:w="140" w:type="dxa"/>
              <w:right w:w="140" w:type="dxa"/>
            </w:tcMar>
          </w:tcPr>
          <w:p w14:paraId="0B6B8B41" w14:textId="77777777" w:rsidR="006A263B" w:rsidRDefault="00000000">
            <w:pPr>
              <w:jc w:val="center"/>
            </w:pPr>
            <w:r>
              <w:rPr>
                <w:rFonts w:ascii="Times New Roman" w:hAnsi="Times New Roman"/>
                <w:b/>
                <w:color w:val="FFFFFF"/>
                <w:sz w:val="20"/>
              </w:rPr>
              <w:t>Quy định cũ (NĐ 26/2026)</w:t>
            </w:r>
          </w:p>
        </w:tc>
        <w:tc>
          <w:tcPr>
            <w:tcW w:w="2160" w:type="dxa"/>
            <w:shd w:val="clear" w:color="auto" w:fill="1B365D"/>
            <w:tcMar>
              <w:top w:w="140" w:type="dxa"/>
              <w:left w:w="140" w:type="dxa"/>
              <w:bottom w:w="140" w:type="dxa"/>
              <w:right w:w="140" w:type="dxa"/>
            </w:tcMar>
          </w:tcPr>
          <w:p w14:paraId="37C9EE5E" w14:textId="77777777" w:rsidR="006A263B" w:rsidRDefault="00000000">
            <w:pPr>
              <w:jc w:val="center"/>
            </w:pPr>
            <w:r>
              <w:rPr>
                <w:rFonts w:ascii="Times New Roman" w:hAnsi="Times New Roman"/>
                <w:b/>
                <w:color w:val="FFFFFF"/>
                <w:sz w:val="20"/>
              </w:rPr>
              <w:t>Dự thảo sửa đổi</w:t>
            </w:r>
          </w:p>
        </w:tc>
        <w:tc>
          <w:tcPr>
            <w:tcW w:w="2304" w:type="dxa"/>
            <w:shd w:val="clear" w:color="auto" w:fill="1B365D"/>
            <w:tcMar>
              <w:top w:w="140" w:type="dxa"/>
              <w:left w:w="140" w:type="dxa"/>
              <w:bottom w:w="140" w:type="dxa"/>
              <w:right w:w="140" w:type="dxa"/>
            </w:tcMar>
          </w:tcPr>
          <w:p w14:paraId="58CA5700" w14:textId="77777777" w:rsidR="006A263B" w:rsidRDefault="00000000">
            <w:pPr>
              <w:jc w:val="center"/>
            </w:pPr>
            <w:r>
              <w:rPr>
                <w:rFonts w:ascii="Times New Roman" w:hAnsi="Times New Roman"/>
                <w:b/>
                <w:color w:val="FFFFFF"/>
                <w:sz w:val="20"/>
              </w:rPr>
              <w:t>Thời gian cắt giảm / Cải cách</w:t>
            </w:r>
          </w:p>
        </w:tc>
      </w:tr>
      <w:tr w:rsidR="006A263B" w14:paraId="3AAF6F10" w14:textId="77777777">
        <w:trPr>
          <w:jc w:val="center"/>
        </w:trPr>
        <w:tc>
          <w:tcPr>
            <w:tcW w:w="3168" w:type="dxa"/>
            <w:shd w:val="clear" w:color="auto" w:fill="FFFFFF"/>
            <w:tcMar>
              <w:top w:w="100" w:type="dxa"/>
              <w:left w:w="120" w:type="dxa"/>
              <w:bottom w:w="100" w:type="dxa"/>
              <w:right w:w="120" w:type="dxa"/>
            </w:tcMar>
          </w:tcPr>
          <w:p w14:paraId="5BCAAF62" w14:textId="77777777" w:rsidR="006A263B" w:rsidRDefault="00000000">
            <w:pPr>
              <w:spacing w:before="40" w:after="40"/>
            </w:pPr>
            <w:r>
              <w:rPr>
                <w:rFonts w:ascii="Times New Roman" w:hAnsi="Times New Roman"/>
                <w:color w:val="262626"/>
                <w:sz w:val="19"/>
              </w:rPr>
              <w:t>Cấp lại GCN đủ điều kiện SX/KD</w:t>
            </w:r>
          </w:p>
        </w:tc>
        <w:tc>
          <w:tcPr>
            <w:tcW w:w="2160" w:type="dxa"/>
            <w:shd w:val="clear" w:color="auto" w:fill="FFFFFF"/>
            <w:tcMar>
              <w:top w:w="100" w:type="dxa"/>
              <w:left w:w="120" w:type="dxa"/>
              <w:bottom w:w="100" w:type="dxa"/>
              <w:right w:w="120" w:type="dxa"/>
            </w:tcMar>
          </w:tcPr>
          <w:p w14:paraId="09B738FE" w14:textId="77777777" w:rsidR="006A263B" w:rsidRDefault="00000000">
            <w:pPr>
              <w:spacing w:before="40" w:after="40"/>
              <w:jc w:val="center"/>
            </w:pPr>
            <w:r>
              <w:rPr>
                <w:rFonts w:ascii="Times New Roman" w:hAnsi="Times New Roman"/>
                <w:color w:val="262626"/>
                <w:sz w:val="19"/>
              </w:rPr>
              <w:t>05 ngày làm việc</w:t>
            </w:r>
          </w:p>
        </w:tc>
        <w:tc>
          <w:tcPr>
            <w:tcW w:w="2160" w:type="dxa"/>
            <w:shd w:val="clear" w:color="auto" w:fill="FFFFFF"/>
            <w:tcMar>
              <w:top w:w="100" w:type="dxa"/>
              <w:left w:w="120" w:type="dxa"/>
              <w:bottom w:w="100" w:type="dxa"/>
              <w:right w:w="120" w:type="dxa"/>
            </w:tcMar>
          </w:tcPr>
          <w:p w14:paraId="55121B73" w14:textId="77777777" w:rsidR="006A263B" w:rsidRDefault="00000000">
            <w:pPr>
              <w:spacing w:before="40" w:after="40"/>
              <w:jc w:val="center"/>
            </w:pPr>
            <w:r>
              <w:rPr>
                <w:rFonts w:ascii="Times New Roman" w:hAnsi="Times New Roman"/>
                <w:b/>
                <w:color w:val="1B365D"/>
                <w:sz w:val="19"/>
              </w:rPr>
              <w:t>03 ngày làm việc</w:t>
            </w:r>
          </w:p>
        </w:tc>
        <w:tc>
          <w:tcPr>
            <w:tcW w:w="2304" w:type="dxa"/>
            <w:shd w:val="clear" w:color="auto" w:fill="FFFFFF"/>
            <w:tcMar>
              <w:top w:w="100" w:type="dxa"/>
              <w:left w:w="120" w:type="dxa"/>
              <w:bottom w:w="100" w:type="dxa"/>
              <w:right w:w="120" w:type="dxa"/>
            </w:tcMar>
          </w:tcPr>
          <w:p w14:paraId="32B3E6F1" w14:textId="77777777" w:rsidR="006A263B" w:rsidRDefault="00000000">
            <w:pPr>
              <w:spacing w:before="40" w:after="40"/>
              <w:jc w:val="center"/>
            </w:pPr>
            <w:r>
              <w:rPr>
                <w:rFonts w:ascii="Times New Roman" w:hAnsi="Times New Roman"/>
                <w:color w:val="262626"/>
                <w:sz w:val="19"/>
              </w:rPr>
              <w:t>Giảm 40% thời gian (Cắt giảm hồ sơ giấy tờ)</w:t>
            </w:r>
          </w:p>
        </w:tc>
      </w:tr>
      <w:tr w:rsidR="006A263B" w14:paraId="4D046A5B" w14:textId="77777777">
        <w:trPr>
          <w:jc w:val="center"/>
        </w:trPr>
        <w:tc>
          <w:tcPr>
            <w:tcW w:w="3168" w:type="dxa"/>
            <w:shd w:val="clear" w:color="auto" w:fill="F9FAFB"/>
            <w:tcMar>
              <w:top w:w="100" w:type="dxa"/>
              <w:left w:w="120" w:type="dxa"/>
              <w:bottom w:w="100" w:type="dxa"/>
              <w:right w:w="120" w:type="dxa"/>
            </w:tcMar>
          </w:tcPr>
          <w:p w14:paraId="77448589" w14:textId="77777777" w:rsidR="006A263B" w:rsidRDefault="00000000">
            <w:pPr>
              <w:spacing w:before="40" w:after="40"/>
            </w:pPr>
            <w:r>
              <w:rPr>
                <w:rFonts w:ascii="Times New Roman" w:hAnsi="Times New Roman"/>
                <w:color w:val="262626"/>
                <w:sz w:val="19"/>
              </w:rPr>
              <w:t>Thẩm định cấp phép Hóa chất hạn chế / Kiểm soát đặc biệt</w:t>
            </w:r>
          </w:p>
        </w:tc>
        <w:tc>
          <w:tcPr>
            <w:tcW w:w="2160" w:type="dxa"/>
            <w:shd w:val="clear" w:color="auto" w:fill="F9FAFB"/>
            <w:tcMar>
              <w:top w:w="100" w:type="dxa"/>
              <w:left w:w="120" w:type="dxa"/>
              <w:bottom w:w="100" w:type="dxa"/>
              <w:right w:w="120" w:type="dxa"/>
            </w:tcMar>
          </w:tcPr>
          <w:p w14:paraId="1AC3D8F9" w14:textId="77777777" w:rsidR="006A263B" w:rsidRDefault="00000000">
            <w:pPr>
              <w:spacing w:before="40" w:after="40"/>
              <w:jc w:val="center"/>
            </w:pPr>
            <w:r>
              <w:rPr>
                <w:rFonts w:ascii="Times New Roman" w:hAnsi="Times New Roman"/>
                <w:color w:val="262626"/>
                <w:sz w:val="19"/>
              </w:rPr>
              <w:t>16 ngày làm việc</w:t>
            </w:r>
          </w:p>
        </w:tc>
        <w:tc>
          <w:tcPr>
            <w:tcW w:w="2160" w:type="dxa"/>
            <w:shd w:val="clear" w:color="auto" w:fill="F9FAFB"/>
            <w:tcMar>
              <w:top w:w="100" w:type="dxa"/>
              <w:left w:w="120" w:type="dxa"/>
              <w:bottom w:w="100" w:type="dxa"/>
              <w:right w:w="120" w:type="dxa"/>
            </w:tcMar>
          </w:tcPr>
          <w:p w14:paraId="66679A34" w14:textId="77777777" w:rsidR="006A263B" w:rsidRDefault="00000000">
            <w:pPr>
              <w:spacing w:before="40" w:after="40"/>
              <w:jc w:val="center"/>
            </w:pPr>
            <w:r>
              <w:rPr>
                <w:rFonts w:ascii="Times New Roman" w:hAnsi="Times New Roman"/>
                <w:b/>
                <w:color w:val="1B365D"/>
                <w:sz w:val="19"/>
              </w:rPr>
              <w:t>14 ngày làm việc</w:t>
            </w:r>
          </w:p>
        </w:tc>
        <w:tc>
          <w:tcPr>
            <w:tcW w:w="2304" w:type="dxa"/>
            <w:shd w:val="clear" w:color="auto" w:fill="F9FAFB"/>
            <w:tcMar>
              <w:top w:w="100" w:type="dxa"/>
              <w:left w:w="120" w:type="dxa"/>
              <w:bottom w:w="100" w:type="dxa"/>
              <w:right w:w="120" w:type="dxa"/>
            </w:tcMar>
          </w:tcPr>
          <w:p w14:paraId="2F939D40" w14:textId="77777777" w:rsidR="006A263B" w:rsidRDefault="00000000">
            <w:pPr>
              <w:spacing w:before="40" w:after="40"/>
              <w:jc w:val="center"/>
            </w:pPr>
            <w:r>
              <w:rPr>
                <w:rFonts w:ascii="Times New Roman" w:hAnsi="Times New Roman"/>
                <w:color w:val="262626"/>
                <w:sz w:val="19"/>
              </w:rPr>
              <w:t>Giảm 02 ngày làm việc (Số hóa quy trình thẩm định)</w:t>
            </w:r>
          </w:p>
        </w:tc>
      </w:tr>
      <w:tr w:rsidR="006A263B" w14:paraId="62E8FDF1" w14:textId="77777777">
        <w:trPr>
          <w:jc w:val="center"/>
        </w:trPr>
        <w:tc>
          <w:tcPr>
            <w:tcW w:w="3168" w:type="dxa"/>
            <w:shd w:val="clear" w:color="auto" w:fill="FFFFFF"/>
            <w:tcMar>
              <w:top w:w="100" w:type="dxa"/>
              <w:left w:w="120" w:type="dxa"/>
              <w:bottom w:w="100" w:type="dxa"/>
              <w:right w:w="120" w:type="dxa"/>
            </w:tcMar>
          </w:tcPr>
          <w:p w14:paraId="3D70F130" w14:textId="77777777" w:rsidR="006A263B" w:rsidRDefault="00000000">
            <w:pPr>
              <w:spacing w:before="40" w:after="40"/>
            </w:pPr>
            <w:r>
              <w:rPr>
                <w:rFonts w:ascii="Times New Roman" w:hAnsi="Times New Roman"/>
                <w:color w:val="262626"/>
                <w:sz w:val="19"/>
              </w:rPr>
              <w:t>Cấp Giấy phép XNK Hóa chất cấm (Cấp mới / Cấp lại)</w:t>
            </w:r>
          </w:p>
        </w:tc>
        <w:tc>
          <w:tcPr>
            <w:tcW w:w="2160" w:type="dxa"/>
            <w:shd w:val="clear" w:color="auto" w:fill="FFFFFF"/>
            <w:tcMar>
              <w:top w:w="100" w:type="dxa"/>
              <w:left w:w="120" w:type="dxa"/>
              <w:bottom w:w="100" w:type="dxa"/>
              <w:right w:w="120" w:type="dxa"/>
            </w:tcMar>
          </w:tcPr>
          <w:p w14:paraId="30E186E5" w14:textId="77777777" w:rsidR="006A263B" w:rsidRDefault="00000000">
            <w:pPr>
              <w:spacing w:before="40" w:after="40"/>
              <w:jc w:val="center"/>
            </w:pPr>
            <w:r>
              <w:rPr>
                <w:rFonts w:ascii="Times New Roman" w:hAnsi="Times New Roman"/>
                <w:color w:val="262626"/>
                <w:sz w:val="19"/>
              </w:rPr>
              <w:t>07 ngày / 05 ngày</w:t>
            </w:r>
          </w:p>
        </w:tc>
        <w:tc>
          <w:tcPr>
            <w:tcW w:w="2160" w:type="dxa"/>
            <w:shd w:val="clear" w:color="auto" w:fill="FFFFFF"/>
            <w:tcMar>
              <w:top w:w="100" w:type="dxa"/>
              <w:left w:w="120" w:type="dxa"/>
              <w:bottom w:w="100" w:type="dxa"/>
              <w:right w:w="120" w:type="dxa"/>
            </w:tcMar>
          </w:tcPr>
          <w:p w14:paraId="5700CB78" w14:textId="77777777" w:rsidR="006A263B" w:rsidRDefault="00000000">
            <w:pPr>
              <w:spacing w:before="40" w:after="40"/>
              <w:jc w:val="center"/>
            </w:pPr>
            <w:r>
              <w:rPr>
                <w:rFonts w:ascii="Times New Roman" w:hAnsi="Times New Roman"/>
                <w:b/>
                <w:color w:val="1B365D"/>
                <w:sz w:val="19"/>
              </w:rPr>
              <w:t>05 ngày / 03 ngày</w:t>
            </w:r>
          </w:p>
        </w:tc>
        <w:tc>
          <w:tcPr>
            <w:tcW w:w="2304" w:type="dxa"/>
            <w:shd w:val="clear" w:color="auto" w:fill="FFFFFF"/>
            <w:tcMar>
              <w:top w:w="100" w:type="dxa"/>
              <w:left w:w="120" w:type="dxa"/>
              <w:bottom w:w="100" w:type="dxa"/>
              <w:right w:w="120" w:type="dxa"/>
            </w:tcMar>
          </w:tcPr>
          <w:p w14:paraId="548A90FC" w14:textId="77777777" w:rsidR="006A263B" w:rsidRDefault="00000000">
            <w:pPr>
              <w:spacing w:before="40" w:after="40"/>
              <w:jc w:val="center"/>
            </w:pPr>
            <w:r>
              <w:rPr>
                <w:rFonts w:ascii="Times New Roman" w:hAnsi="Times New Roman"/>
                <w:color w:val="262626"/>
                <w:sz w:val="19"/>
              </w:rPr>
              <w:t>Giảm 02 ngày làm việc; Bãi bỏ nộp bản sao GP sản xuất</w:t>
            </w:r>
          </w:p>
        </w:tc>
      </w:tr>
      <w:tr w:rsidR="006A263B" w14:paraId="79E62FFA" w14:textId="77777777">
        <w:trPr>
          <w:jc w:val="center"/>
        </w:trPr>
        <w:tc>
          <w:tcPr>
            <w:tcW w:w="3168" w:type="dxa"/>
            <w:shd w:val="clear" w:color="auto" w:fill="F9FAFB"/>
            <w:tcMar>
              <w:top w:w="100" w:type="dxa"/>
              <w:left w:w="120" w:type="dxa"/>
              <w:bottom w:w="100" w:type="dxa"/>
              <w:right w:w="120" w:type="dxa"/>
            </w:tcMar>
          </w:tcPr>
          <w:p w14:paraId="1F63040F" w14:textId="77777777" w:rsidR="006A263B" w:rsidRDefault="00000000">
            <w:pPr>
              <w:spacing w:before="40" w:after="40"/>
            </w:pPr>
            <w:r>
              <w:rPr>
                <w:rFonts w:ascii="Times New Roman" w:hAnsi="Times New Roman"/>
                <w:color w:val="262626"/>
                <w:sz w:val="19"/>
              </w:rPr>
              <w:t>Gia hạn Giấy phép XNK Hóa chất kiểm soát đặc biệt</w:t>
            </w:r>
          </w:p>
        </w:tc>
        <w:tc>
          <w:tcPr>
            <w:tcW w:w="2160" w:type="dxa"/>
            <w:shd w:val="clear" w:color="auto" w:fill="F9FAFB"/>
            <w:tcMar>
              <w:top w:w="100" w:type="dxa"/>
              <w:left w:w="120" w:type="dxa"/>
              <w:bottom w:w="100" w:type="dxa"/>
              <w:right w:w="120" w:type="dxa"/>
            </w:tcMar>
          </w:tcPr>
          <w:p w14:paraId="349F7071" w14:textId="77777777" w:rsidR="006A263B" w:rsidRDefault="00000000">
            <w:pPr>
              <w:spacing w:before="40" w:after="40"/>
              <w:jc w:val="center"/>
            </w:pPr>
            <w:r>
              <w:rPr>
                <w:rFonts w:ascii="Times New Roman" w:hAnsi="Times New Roman"/>
                <w:color w:val="262626"/>
                <w:sz w:val="19"/>
              </w:rPr>
              <w:t>05 ngày làm việc</w:t>
            </w:r>
          </w:p>
        </w:tc>
        <w:tc>
          <w:tcPr>
            <w:tcW w:w="2160" w:type="dxa"/>
            <w:shd w:val="clear" w:color="auto" w:fill="F9FAFB"/>
            <w:tcMar>
              <w:top w:w="100" w:type="dxa"/>
              <w:left w:w="120" w:type="dxa"/>
              <w:bottom w:w="100" w:type="dxa"/>
              <w:right w:w="120" w:type="dxa"/>
            </w:tcMar>
          </w:tcPr>
          <w:p w14:paraId="63A97358" w14:textId="77777777" w:rsidR="006A263B" w:rsidRDefault="00000000">
            <w:pPr>
              <w:spacing w:before="40" w:after="40"/>
              <w:jc w:val="center"/>
            </w:pPr>
            <w:r>
              <w:rPr>
                <w:rFonts w:ascii="Times New Roman" w:hAnsi="Times New Roman"/>
                <w:b/>
                <w:color w:val="1B365D"/>
                <w:sz w:val="19"/>
              </w:rPr>
              <w:t>03 ngày làm việc</w:t>
            </w:r>
          </w:p>
        </w:tc>
        <w:tc>
          <w:tcPr>
            <w:tcW w:w="2304" w:type="dxa"/>
            <w:shd w:val="clear" w:color="auto" w:fill="F9FAFB"/>
            <w:tcMar>
              <w:top w:w="100" w:type="dxa"/>
              <w:left w:w="120" w:type="dxa"/>
              <w:bottom w:w="100" w:type="dxa"/>
              <w:right w:w="120" w:type="dxa"/>
            </w:tcMar>
          </w:tcPr>
          <w:p w14:paraId="76BADE11" w14:textId="77777777" w:rsidR="006A263B" w:rsidRDefault="00000000">
            <w:pPr>
              <w:spacing w:before="40" w:after="40"/>
              <w:jc w:val="center"/>
            </w:pPr>
            <w:r>
              <w:rPr>
                <w:rFonts w:ascii="Times New Roman" w:hAnsi="Times New Roman"/>
                <w:color w:val="262626"/>
                <w:sz w:val="19"/>
              </w:rPr>
              <w:t>Giảm 40% thời gian xử lý</w:t>
            </w:r>
          </w:p>
        </w:tc>
      </w:tr>
      <w:tr w:rsidR="006A263B" w14:paraId="208A9F60" w14:textId="77777777">
        <w:trPr>
          <w:jc w:val="center"/>
        </w:trPr>
        <w:tc>
          <w:tcPr>
            <w:tcW w:w="3168" w:type="dxa"/>
            <w:shd w:val="clear" w:color="auto" w:fill="FFFFFF"/>
            <w:tcMar>
              <w:top w:w="100" w:type="dxa"/>
              <w:left w:w="120" w:type="dxa"/>
              <w:bottom w:w="100" w:type="dxa"/>
              <w:right w:w="120" w:type="dxa"/>
            </w:tcMar>
          </w:tcPr>
          <w:p w14:paraId="0ECB8920" w14:textId="77777777" w:rsidR="006A263B" w:rsidRDefault="00000000">
            <w:pPr>
              <w:spacing w:before="40" w:after="40"/>
            </w:pPr>
            <w:r>
              <w:rPr>
                <w:rFonts w:ascii="Times New Roman" w:hAnsi="Times New Roman"/>
                <w:color w:val="262626"/>
                <w:sz w:val="19"/>
              </w:rPr>
              <w:t xml:space="preserve">Thẩm định, xác nhận Đăng ký hóa </w:t>
            </w:r>
            <w:r>
              <w:rPr>
                <w:rFonts w:ascii="Times New Roman" w:hAnsi="Times New Roman"/>
                <w:color w:val="262626"/>
                <w:sz w:val="19"/>
              </w:rPr>
              <w:lastRenderedPageBreak/>
              <w:t>chất mới</w:t>
            </w:r>
          </w:p>
        </w:tc>
        <w:tc>
          <w:tcPr>
            <w:tcW w:w="2160" w:type="dxa"/>
            <w:shd w:val="clear" w:color="auto" w:fill="FFFFFF"/>
            <w:tcMar>
              <w:top w:w="100" w:type="dxa"/>
              <w:left w:w="120" w:type="dxa"/>
              <w:bottom w:w="100" w:type="dxa"/>
              <w:right w:w="120" w:type="dxa"/>
            </w:tcMar>
          </w:tcPr>
          <w:p w14:paraId="31585B7B" w14:textId="77777777" w:rsidR="006A263B" w:rsidRDefault="00000000">
            <w:pPr>
              <w:spacing w:before="40" w:after="40"/>
              <w:jc w:val="center"/>
            </w:pPr>
            <w:r>
              <w:rPr>
                <w:rFonts w:ascii="Times New Roman" w:hAnsi="Times New Roman"/>
                <w:color w:val="262626"/>
                <w:sz w:val="19"/>
              </w:rPr>
              <w:lastRenderedPageBreak/>
              <w:t>90 ngày làm việc</w:t>
            </w:r>
          </w:p>
        </w:tc>
        <w:tc>
          <w:tcPr>
            <w:tcW w:w="2160" w:type="dxa"/>
            <w:shd w:val="clear" w:color="auto" w:fill="FFFFFF"/>
            <w:tcMar>
              <w:top w:w="100" w:type="dxa"/>
              <w:left w:w="120" w:type="dxa"/>
              <w:bottom w:w="100" w:type="dxa"/>
              <w:right w:w="120" w:type="dxa"/>
            </w:tcMar>
          </w:tcPr>
          <w:p w14:paraId="25BA42C5" w14:textId="77777777" w:rsidR="006A263B" w:rsidRDefault="00000000">
            <w:pPr>
              <w:spacing w:before="40" w:after="40"/>
              <w:jc w:val="center"/>
            </w:pPr>
            <w:r>
              <w:rPr>
                <w:rFonts w:ascii="Times New Roman" w:hAnsi="Times New Roman"/>
                <w:b/>
                <w:color w:val="1B365D"/>
                <w:sz w:val="19"/>
              </w:rPr>
              <w:t>50 ngày làm việc</w:t>
            </w:r>
          </w:p>
        </w:tc>
        <w:tc>
          <w:tcPr>
            <w:tcW w:w="2304" w:type="dxa"/>
            <w:shd w:val="clear" w:color="auto" w:fill="FFFFFF"/>
            <w:tcMar>
              <w:top w:w="100" w:type="dxa"/>
              <w:left w:w="120" w:type="dxa"/>
              <w:bottom w:w="100" w:type="dxa"/>
              <w:right w:w="120" w:type="dxa"/>
            </w:tcMar>
          </w:tcPr>
          <w:p w14:paraId="75A0452C" w14:textId="77777777" w:rsidR="006A263B" w:rsidRDefault="00000000">
            <w:pPr>
              <w:spacing w:before="40" w:after="40"/>
              <w:jc w:val="center"/>
            </w:pPr>
            <w:r>
              <w:rPr>
                <w:rFonts w:ascii="Times New Roman" w:hAnsi="Times New Roman"/>
                <w:color w:val="262626"/>
                <w:sz w:val="19"/>
              </w:rPr>
              <w:t xml:space="preserve">Cắt giảm 40 ngày (Giảm </w:t>
            </w:r>
            <w:r>
              <w:rPr>
                <w:rFonts w:ascii="Times New Roman" w:hAnsi="Times New Roman"/>
                <w:color w:val="262626"/>
                <w:sz w:val="19"/>
              </w:rPr>
              <w:lastRenderedPageBreak/>
              <w:t>44.4% thời gian chờ đợi)</w:t>
            </w:r>
          </w:p>
        </w:tc>
      </w:tr>
      <w:tr w:rsidR="006A263B" w14:paraId="760325A6" w14:textId="77777777">
        <w:trPr>
          <w:jc w:val="center"/>
        </w:trPr>
        <w:tc>
          <w:tcPr>
            <w:tcW w:w="3168" w:type="dxa"/>
            <w:shd w:val="clear" w:color="auto" w:fill="F9FAFB"/>
            <w:tcMar>
              <w:top w:w="100" w:type="dxa"/>
              <w:left w:w="120" w:type="dxa"/>
              <w:bottom w:w="100" w:type="dxa"/>
              <w:right w:w="120" w:type="dxa"/>
            </w:tcMar>
          </w:tcPr>
          <w:p w14:paraId="0110D90E" w14:textId="77777777" w:rsidR="006A263B" w:rsidRDefault="00000000">
            <w:pPr>
              <w:spacing w:before="40" w:after="40"/>
            </w:pPr>
            <w:r>
              <w:rPr>
                <w:rFonts w:ascii="Times New Roman" w:hAnsi="Times New Roman"/>
                <w:color w:val="262626"/>
                <w:sz w:val="19"/>
              </w:rPr>
              <w:lastRenderedPageBreak/>
              <w:t>Cấp văn bản xác nhận sau khi DN hoàn thiện hồ sơ ĐK mới</w:t>
            </w:r>
          </w:p>
        </w:tc>
        <w:tc>
          <w:tcPr>
            <w:tcW w:w="2160" w:type="dxa"/>
            <w:shd w:val="clear" w:color="auto" w:fill="F9FAFB"/>
            <w:tcMar>
              <w:top w:w="100" w:type="dxa"/>
              <w:left w:w="120" w:type="dxa"/>
              <w:bottom w:w="100" w:type="dxa"/>
              <w:right w:w="120" w:type="dxa"/>
            </w:tcMar>
          </w:tcPr>
          <w:p w14:paraId="7E63A3E2" w14:textId="77777777" w:rsidR="006A263B" w:rsidRDefault="00000000">
            <w:pPr>
              <w:spacing w:before="40" w:after="40"/>
              <w:jc w:val="center"/>
            </w:pPr>
            <w:r>
              <w:rPr>
                <w:rFonts w:ascii="Times New Roman" w:hAnsi="Times New Roman"/>
                <w:color w:val="262626"/>
                <w:sz w:val="19"/>
              </w:rPr>
              <w:t>07 ngày làm việc</w:t>
            </w:r>
          </w:p>
        </w:tc>
        <w:tc>
          <w:tcPr>
            <w:tcW w:w="2160" w:type="dxa"/>
            <w:shd w:val="clear" w:color="auto" w:fill="F9FAFB"/>
            <w:tcMar>
              <w:top w:w="100" w:type="dxa"/>
              <w:left w:w="120" w:type="dxa"/>
              <w:bottom w:w="100" w:type="dxa"/>
              <w:right w:w="120" w:type="dxa"/>
            </w:tcMar>
          </w:tcPr>
          <w:p w14:paraId="4F92FEFA" w14:textId="77777777" w:rsidR="006A263B" w:rsidRDefault="00000000">
            <w:pPr>
              <w:spacing w:before="40" w:after="40"/>
              <w:jc w:val="center"/>
            </w:pPr>
            <w:r>
              <w:rPr>
                <w:rFonts w:ascii="Times New Roman" w:hAnsi="Times New Roman"/>
                <w:b/>
                <w:color w:val="1B365D"/>
                <w:sz w:val="19"/>
              </w:rPr>
              <w:t>03 ngày làm việc</w:t>
            </w:r>
          </w:p>
        </w:tc>
        <w:tc>
          <w:tcPr>
            <w:tcW w:w="2304" w:type="dxa"/>
            <w:shd w:val="clear" w:color="auto" w:fill="F9FAFB"/>
            <w:tcMar>
              <w:top w:w="100" w:type="dxa"/>
              <w:left w:w="120" w:type="dxa"/>
              <w:bottom w:w="100" w:type="dxa"/>
              <w:right w:w="120" w:type="dxa"/>
            </w:tcMar>
          </w:tcPr>
          <w:p w14:paraId="554C9529" w14:textId="77777777" w:rsidR="006A263B" w:rsidRDefault="00000000">
            <w:pPr>
              <w:spacing w:before="40" w:after="40"/>
              <w:jc w:val="center"/>
            </w:pPr>
            <w:r>
              <w:rPr>
                <w:rFonts w:ascii="Times New Roman" w:hAnsi="Times New Roman"/>
                <w:color w:val="262626"/>
                <w:sz w:val="19"/>
              </w:rPr>
              <w:t>Giảm 04 ngày làm việc (Giảm 57%)</w:t>
            </w:r>
          </w:p>
        </w:tc>
      </w:tr>
      <w:tr w:rsidR="006A263B" w14:paraId="0077C5C2" w14:textId="77777777">
        <w:trPr>
          <w:jc w:val="center"/>
        </w:trPr>
        <w:tc>
          <w:tcPr>
            <w:tcW w:w="3168" w:type="dxa"/>
            <w:shd w:val="clear" w:color="auto" w:fill="FFFFFF"/>
            <w:tcMar>
              <w:top w:w="100" w:type="dxa"/>
              <w:left w:w="120" w:type="dxa"/>
              <w:bottom w:w="100" w:type="dxa"/>
              <w:right w:w="120" w:type="dxa"/>
            </w:tcMar>
          </w:tcPr>
          <w:p w14:paraId="71C856C0" w14:textId="77777777" w:rsidR="006A263B" w:rsidRDefault="00000000">
            <w:pPr>
              <w:spacing w:before="40" w:after="40"/>
            </w:pPr>
            <w:r>
              <w:rPr>
                <w:rFonts w:ascii="Times New Roman" w:hAnsi="Times New Roman"/>
                <w:color w:val="262626"/>
                <w:sz w:val="19"/>
              </w:rPr>
              <w:t>Cấp GCN đủ điều kiện dịch vụ tồn trữ hóa chất</w:t>
            </w:r>
          </w:p>
        </w:tc>
        <w:tc>
          <w:tcPr>
            <w:tcW w:w="2160" w:type="dxa"/>
            <w:shd w:val="clear" w:color="auto" w:fill="FFFFFF"/>
            <w:tcMar>
              <w:top w:w="100" w:type="dxa"/>
              <w:left w:w="120" w:type="dxa"/>
              <w:bottom w:w="100" w:type="dxa"/>
              <w:right w:w="120" w:type="dxa"/>
            </w:tcMar>
          </w:tcPr>
          <w:p w14:paraId="2DB4F0EC" w14:textId="77777777" w:rsidR="006A263B" w:rsidRDefault="00000000">
            <w:pPr>
              <w:spacing w:before="40" w:after="40"/>
              <w:jc w:val="center"/>
            </w:pPr>
            <w:r>
              <w:rPr>
                <w:rFonts w:ascii="Times New Roman" w:hAnsi="Times New Roman"/>
                <w:color w:val="262626"/>
                <w:sz w:val="19"/>
              </w:rPr>
              <w:t>Bộ Công Thương / Sở Công Thương</w:t>
            </w:r>
          </w:p>
        </w:tc>
        <w:tc>
          <w:tcPr>
            <w:tcW w:w="2160" w:type="dxa"/>
            <w:shd w:val="clear" w:color="auto" w:fill="FFFFFF"/>
            <w:tcMar>
              <w:top w:w="100" w:type="dxa"/>
              <w:left w:w="120" w:type="dxa"/>
              <w:bottom w:w="100" w:type="dxa"/>
              <w:right w:w="120" w:type="dxa"/>
            </w:tcMar>
          </w:tcPr>
          <w:p w14:paraId="118B5A3D" w14:textId="77777777" w:rsidR="006A263B" w:rsidRDefault="00000000">
            <w:pPr>
              <w:spacing w:before="40" w:after="40"/>
              <w:jc w:val="center"/>
            </w:pPr>
            <w:r>
              <w:rPr>
                <w:rFonts w:ascii="Times New Roman" w:hAnsi="Times New Roman"/>
                <w:b/>
                <w:color w:val="1B365D"/>
                <w:sz w:val="19"/>
              </w:rPr>
              <w:t>Phân cấp 100% về UBND cấp tỉnh</w:t>
            </w:r>
          </w:p>
        </w:tc>
        <w:tc>
          <w:tcPr>
            <w:tcW w:w="2304" w:type="dxa"/>
            <w:shd w:val="clear" w:color="auto" w:fill="FFFFFF"/>
            <w:tcMar>
              <w:top w:w="100" w:type="dxa"/>
              <w:left w:w="120" w:type="dxa"/>
              <w:bottom w:w="100" w:type="dxa"/>
              <w:right w:w="120" w:type="dxa"/>
            </w:tcMar>
          </w:tcPr>
          <w:p w14:paraId="2A119B19" w14:textId="77777777" w:rsidR="006A263B" w:rsidRDefault="00000000">
            <w:pPr>
              <w:spacing w:before="40" w:after="40"/>
              <w:jc w:val="center"/>
            </w:pPr>
            <w:r>
              <w:rPr>
                <w:rFonts w:ascii="Times New Roman" w:hAnsi="Times New Roman"/>
                <w:color w:val="262626"/>
                <w:sz w:val="19"/>
              </w:rPr>
              <w:t>Thời hạn cấp mới 10 ngày, cấp lại 03 ngày; Hạn 5 năm</w:t>
            </w:r>
          </w:p>
        </w:tc>
      </w:tr>
    </w:tbl>
    <w:p w14:paraId="0DEA5562" w14:textId="77777777" w:rsidR="006A263B" w:rsidRDefault="006A263B"/>
    <w:p w14:paraId="71DA4307" w14:textId="77777777" w:rsidR="006A263B" w:rsidRDefault="00000000">
      <w:pPr>
        <w:keepNext/>
        <w:spacing w:before="240" w:after="80"/>
      </w:pPr>
      <w:r>
        <w:rPr>
          <w:rFonts w:ascii="Times New Roman" w:hAnsi="Times New Roman"/>
          <w:b/>
          <w:color w:val="2E75B6"/>
          <w:sz w:val="24"/>
        </w:rPr>
        <w:t>4. Trụ cột 4: Quản lý Xuất nhập khẩu &amp; Tái xuất hàng hóa lỗi (Điều 6, 10, 14, 18, 21)</w:t>
      </w:r>
    </w:p>
    <w:p w14:paraId="5D4A5240"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Xóa bỏ miễn trừ khai báo lô hàng nhỏ (Điều 6): Bãi bỏ điểm c, d khoản 7 Điều 6 (trước đây miễn khai báo đối với hàng &lt;10kg hoặc mẫu thử &lt;1kg). Lý do: Cổng Một cửa Quốc gia hiện đã thực hiện khai báo điện tử tự động 100%, việc miễn trừ thủ công trước đây tạo kẽ hở cho việc nhập khẩu chia nhỏ hóa chất nguy hiểm và tiền chất nhằm trốn tránh kiểm soát.</w:t>
      </w:r>
    </w:p>
    <w:p w14:paraId="0742364C"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Cơ chế nhân văn cho hàng hóa lỗi / xuất trả (Điều 10 &amp; 14): Bổ sung Khoản 5 Điều 10 và sửa Điều 14: Doanh nghiệp đã nhập khẩu hóa chất nhưng sản phẩm bị lỗi, không đúng tiêu chuẩn hợp đồng hoặc bị đối tác nước ngoài từ chối ĐƯỢC PHÉP XUẤT TRẢ (TÁI XUẤT) cho chủ hàng nước ngoài mà KHÔNG CẦN CÓ GIẤY PHÉP KINH DOANH. Đây là bước đột phá tháo gỡ điểm nghẽn nghiêm trọng cho các doanh nghiệp sản xuất và logistics.</w:t>
      </w:r>
    </w:p>
    <w:p w14:paraId="1229BB4F"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Chấp nhận Hóa đơn chiếu lệ (Proforma Invoice): Tại Điều 14, chấp nhận hóa đơn thương mại hoặc hóa đơn chiếu lệ trong trường hợp chưa có hóa đơn chính thức, giúp đẩy nhanh thủ tục thông quan trước khi hàng cập cảng.</w:t>
      </w:r>
    </w:p>
    <w:p w14:paraId="660373EE"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Mở rộng miễn trừ cấp phép thực chất (Điều 21): Bổ sung miễn trừ cấp Giấy phép đối với: (1) Bình chữa cháy hoàn chỉnh chứa hóa chất; (2) Hóa chất cần kiểm soát đặc biệt sử dụng trong phòng thí nghiệm với khối lượng nhỏ hơn hoặc bằng 1 mg/lần xuất/nhập khẩu; (3) Hoạt động xuất nhập khẩu tại chỗ và mua bán giữa các doanh nghiệp trong khu chế xuất.</w:t>
      </w:r>
    </w:p>
    <w:p w14:paraId="2D834E13" w14:textId="77777777" w:rsidR="006A263B" w:rsidRDefault="00000000">
      <w:pPr>
        <w:keepNext/>
        <w:spacing w:before="240" w:after="80"/>
      </w:pPr>
      <w:r>
        <w:rPr>
          <w:rFonts w:ascii="Times New Roman" w:hAnsi="Times New Roman"/>
          <w:b/>
          <w:color w:val="2E75B6"/>
          <w:sz w:val="24"/>
        </w:rPr>
        <w:t>5. Trụ cột 5: Chuyển đổi số, Kết nối dữ liệu Hải quan &amp; Quản trị rủi ro vòng đời (Điều 24, 25)</w:t>
      </w:r>
    </w:p>
    <w:p w14:paraId="2156F5DD"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Kết nối dữ liệu Hải quan thời gian thực (Điều 24 sửa Điều 27): Quy định bắt buộc Bộ Tài chính (Tổng cục Hải quan) phải chia sẻ, đồng bộ dữ liệu xuất nhập khẩu hóa chất (tờ khai, tên hàng, khối lượng, thông tin tổ chức/cá nhân) với Cơ sở dữ liệu chuyên ngành hóa chất theo thời gian thực. Cơ quan cấp phép phải tự khai thác dữ liệu này để thay thế giấy tờ trong hồ sơ giải quyết TTHC.</w:t>
      </w:r>
    </w:p>
    <w:p w14:paraId="2022D34A"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Trách nhiệm cập nhật của địa phương: UBND cấp tỉnh có trách nhiệm cập nhật dữ liệu thủ tục hành chính, đối tượng cấp phép, địa điểm kho chứa, mã CAS, nhóm hóa chất định kỳ trước ngày 05 hàng tháng lên hệ thống quốc gia.</w:t>
      </w:r>
    </w:p>
    <w:p w14:paraId="7310739B"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Bổ sung công bố 'Khối lượng sản xuất, nhập khẩu hàng năm' (Điều 25 sửa Điều 29): Khi công bố hóa chất nguy hiểm trong sản phẩm, doanh nghiệp phải công bố kèm tổng khối lượng hàng năm. Đây là nguồn dữ liệu sống giúp cơ quan quản lý xác định chính xác tải lượng phát thải, mức độ phơi nhiễm cộng đồng và rủi ro môi trường quốc gia.</w:t>
      </w:r>
    </w:p>
    <w:p w14:paraId="592FE436" w14:textId="77777777" w:rsidR="006A263B" w:rsidRDefault="00000000">
      <w:pPr>
        <w:keepNext/>
        <w:spacing w:before="240" w:after="80"/>
      </w:pPr>
      <w:r>
        <w:rPr>
          <w:rFonts w:ascii="Times New Roman" w:hAnsi="Times New Roman"/>
          <w:b/>
          <w:color w:val="2E75B6"/>
          <w:sz w:val="24"/>
        </w:rPr>
        <w:t>6. Trụ cột 6: Chế tài pháp lý &amp; Điều khoản chuyển tiếp thông suốt (Điều 22, 26)</w:t>
      </w:r>
    </w:p>
    <w:p w14:paraId="1D52E2D5"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 xml:space="preserve">Ấn định mốc thời gian chấm dứt hoạt động (Điều 22): Bổ sung Khoản 5 Điều 22 quy định rõ: Tổ chức, cá nhân phải CHẤM DỨT HOẠT ĐỘNG sản xuất, kinh doanh hóa chất KỂ TỪ NGÀY </w:t>
      </w:r>
      <w:r>
        <w:rPr>
          <w:rFonts w:ascii="Times New Roman" w:hAnsi="Times New Roman"/>
          <w:color w:val="262626"/>
        </w:rPr>
        <w:lastRenderedPageBreak/>
        <w:t>NHẬN ĐƯỢC QUYẾT ĐỊNH THU HỒI Giấy phép/Giấy chứng nhận. Quy định này bịt kín lỗ hổng lợi dụng khoảng thời gian 05 - 10 ngày nộp lại bản gốc để tiếp tục tẩu tán hoặc kinh doanh trái phép.</w:t>
      </w:r>
    </w:p>
    <w:p w14:paraId="0FD4B87C"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Xử lý chuyển tiếp thông suốt (Điều 26 sửa Điều 30): Công nhận giá trị pháp lý của các Giấy phép, Giấy chứng nhận đã cấp trước ngày Nghị định có hiệu lực đến hết thời hạn ghi trên giấy phép. Khi doanh nghiệp được cấp Giấy phép mới theo Nghị định này, giấy phép cũ tự động chấm dứt hiệu lực và doanh nghiệp có 10 ngày làm việc để nộp lại bản gốc.</w:t>
      </w:r>
    </w:p>
    <w:p w14:paraId="6EB61BE0" w14:textId="77777777" w:rsidR="006A263B" w:rsidRDefault="00000000">
      <w:pPr>
        <w:keepNext/>
        <w:spacing w:before="320" w:after="120"/>
      </w:pPr>
      <w:r>
        <w:rPr>
          <w:rFonts w:ascii="Times New Roman" w:hAnsi="Times New Roman"/>
          <w:b/>
          <w:color w:val="1B365D"/>
          <w:sz w:val="28"/>
        </w:rPr>
        <w:t>PHẦN III: ĐÁNH GIÁ TÁC ĐỘNG ĐA CHIỀU (MULTIDIMENSIONAL IMPACT ASSESSMENT)</w:t>
      </w:r>
    </w:p>
    <w:p w14:paraId="5B584E5E" w14:textId="77777777" w:rsidR="006A263B" w:rsidRDefault="00000000">
      <w:pPr>
        <w:keepNext/>
        <w:spacing w:before="240" w:after="80"/>
      </w:pPr>
      <w:r>
        <w:rPr>
          <w:rFonts w:ascii="Times New Roman" w:hAnsi="Times New Roman"/>
          <w:b/>
          <w:color w:val="2E75B6"/>
          <w:sz w:val="24"/>
        </w:rPr>
        <w:t>1. Tác động đối với Cộng đồng Doanh nghiệp</w:t>
      </w:r>
    </w:p>
    <w:p w14:paraId="65C35EDD"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Tiết kiệm chi phí tuân thủ &amp; Thời gian tiếp cận thị trường: Việc cắt giảm từ 40% - 57% thời gian giải quyết TTHC (đặc biệt là rút ngắn 40 ngày thẩm định hóa chất mới) giúp các doanh nghiệp FDI, doanh nghiệp công nghệ cao và sản xuất hóa chất nhanh chóng đưa sản phẩm mới vào dây chuyền sản xuất thương mại.</w:t>
      </w:r>
    </w:p>
    <w:p w14:paraId="131B21A6"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Giải tỏa rủi ro pháp lý về xuất trả hàng lỗi: Cơ chế cho phép xuất trả hóa chất lỗi mà không cần Giấy phép kinh doanh giúp doanh nghiệp tránh được các khoản phạt hành chính oan uổng, giải phóng hàng tồn đọng tại cảng biển và tiết kiệm chi phí lưu kho bãi khổng lồ.</w:t>
      </w:r>
    </w:p>
    <w:p w14:paraId="12E69D39"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Minh bạch hóa chi phí nhân sự: Chuẩn hóa bằng cấp an toàn hóa chất theo Phụ lục III Nghị định 25 giúp doanh nghiệp chủ động trong công tác tuyển dụng và đào tạo nhân sự, không còn bị phụ thuộc vào sự đánh giá cảm tính của đoàn kiểm tra.</w:t>
      </w:r>
    </w:p>
    <w:p w14:paraId="342A44DC" w14:textId="77777777" w:rsidR="006A263B" w:rsidRDefault="00000000">
      <w:pPr>
        <w:keepNext/>
        <w:spacing w:before="240" w:after="80"/>
      </w:pPr>
      <w:r>
        <w:rPr>
          <w:rFonts w:ascii="Times New Roman" w:hAnsi="Times New Roman"/>
          <w:b/>
          <w:color w:val="2E75B6"/>
          <w:sz w:val="24"/>
        </w:rPr>
        <w:t>2. Tác động đối với Hiệu lực Quản lý Nhà nước</w:t>
      </w:r>
    </w:p>
    <w:p w14:paraId="54A08BC1"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Thực thi phân cấp, phân quyền thực chất: Việc giao 100% thẩm quyền cấp phép dịch vụ tồn trữ kho bãi về UBND cấp tỉnh phát huy tính chủ động, sát sao của chính quyền địa phương - nơi trực tiếp nắm bắt tình hình quy hoạch công nghiệp, an toàn PCCC và môi trường trên địa bàn.</w:t>
      </w:r>
    </w:p>
    <w:p w14:paraId="2E1E512B"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Quản trị dữ liệu số hóa, liên thông thời gian thực: Việc kết nối CSDL Hải quan - Công Thương - Địa phương xóa bỏ hoàn toàn tình trạng 'cát cứ thông tin', tạo nên bức tranh toàn cảnh về dòng lưu chuyển hóa chất (Mass-Balance Flow) từ biên giới đến nhà máy và điểm tiêu thụ cuối cùng.</w:t>
      </w:r>
    </w:p>
    <w:p w14:paraId="5C1CA13B"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Chuyển dịch trọng tâm từ 'Tiền kiểm' sang 'Hậu kiểm có mục tiêu': Cơ quan quản lý giảm tải được hàng nghìn giờ xử lý hồ sơ giấy tờ trùng lặp để tập trung nguồn lực thanh tra, hậu kiểm đối với các cơ sở có nguy cơ cao về cháy nổ và hóa chất độc hại.</w:t>
      </w:r>
    </w:p>
    <w:p w14:paraId="516240A1" w14:textId="77777777" w:rsidR="006A263B" w:rsidRDefault="00000000">
      <w:pPr>
        <w:keepNext/>
        <w:spacing w:before="240" w:after="80"/>
      </w:pPr>
      <w:r>
        <w:rPr>
          <w:rFonts w:ascii="Times New Roman" w:hAnsi="Times New Roman"/>
          <w:b/>
          <w:color w:val="2E75B6"/>
          <w:sz w:val="24"/>
        </w:rPr>
        <w:t>3. Tác động đối với Môi trường và An toàn Xã hội</w:t>
      </w:r>
    </w:p>
    <w:p w14:paraId="4156456B"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Kiểm soát chặt chẽ 100% tiền chất và hóa chất độc hại: Bãi bỏ miễn trừ khai báo lô nhỏ giúp ngăn chặn triệt để tình trạng 'xé lẻ' tiền chất ma túy, tiền chất thuốc nổ và hóa chất cấm qua đường bưu chính hoặc chuyển phát nhanh.</w:t>
      </w:r>
    </w:p>
    <w:p w14:paraId="25B1E70D" w14:textId="77777777" w:rsidR="006A263B" w:rsidRDefault="00000000">
      <w:pPr>
        <w:pStyle w:val="ListBullet"/>
        <w:spacing w:after="60"/>
        <w:jc w:val="both"/>
      </w:pPr>
      <w:r>
        <w:rPr>
          <w:rFonts w:ascii="Times New Roman" w:hAnsi="Times New Roman"/>
          <w:b/>
          <w:color w:val="262626"/>
        </w:rPr>
        <w:t xml:space="preserve">• </w:t>
      </w:r>
      <w:r>
        <w:rPr>
          <w:rFonts w:ascii="Times New Roman" w:hAnsi="Times New Roman"/>
          <w:color w:val="262626"/>
        </w:rPr>
        <w:t>Cơ sở dữ liệu phơi nhiễm quốc gia: Dữ liệu về khối lượng hóa chất nguy hiểm trong sản phẩm lưu thông là công cụ tối quan trọng để các nhà khoa học và cơ quan môi trường dự báo rủi ro sức khỏe cộng đồng và xây dựng các kịch bản ứng phó sự cố hóa chất quốc gia.</w:t>
      </w:r>
    </w:p>
    <w:p w14:paraId="34F994A5" w14:textId="77777777" w:rsidR="006A263B" w:rsidRDefault="00000000">
      <w:pPr>
        <w:keepNext/>
        <w:spacing w:before="320" w:after="120"/>
      </w:pPr>
      <w:r>
        <w:rPr>
          <w:rFonts w:ascii="Times New Roman" w:hAnsi="Times New Roman"/>
          <w:b/>
          <w:color w:val="1B365D"/>
          <w:sz w:val="28"/>
        </w:rPr>
        <w:lastRenderedPageBreak/>
        <w:t>PHẦN IV: KHUYẾN NGHỊ LỘ TRÌNH TUÂN THỦ VÀ CHIẾN LƯỢC CHO DOANH NGHIỆP</w:t>
      </w:r>
    </w:p>
    <w:p w14:paraId="65C85D40" w14:textId="77777777" w:rsidR="006A263B" w:rsidRDefault="00000000">
      <w:pPr>
        <w:spacing w:after="100"/>
        <w:jc w:val="both"/>
      </w:pPr>
      <w:r>
        <w:rPr>
          <w:rFonts w:ascii="Times New Roman" w:hAnsi="Times New Roman"/>
          <w:color w:val="262626"/>
        </w:rPr>
        <w:t>Để chủ động thích ứng và tận dụng tối đa các lợi thế từ Nghị định sửa đổi, các doanh nghiệp hoạt động trong chuỗi cung ứng hóa chất cần triển khai ngay lộ trình 5 bước sau:</w:t>
      </w:r>
    </w:p>
    <w:p w14:paraId="52AE3BE3" w14:textId="77777777" w:rsidR="006A263B" w:rsidRDefault="00000000">
      <w:pPr>
        <w:pStyle w:val="ListBullet"/>
        <w:spacing w:after="60"/>
        <w:jc w:val="both"/>
      </w:pPr>
      <w:r>
        <w:rPr>
          <w:rFonts w:ascii="Times New Roman" w:hAnsi="Times New Roman"/>
          <w:b/>
          <w:color w:val="262626"/>
        </w:rPr>
        <w:t xml:space="preserve">1. </w:t>
      </w:r>
      <w:r>
        <w:rPr>
          <w:rFonts w:ascii="Times New Roman" w:hAnsi="Times New Roman"/>
          <w:color w:val="262626"/>
        </w:rPr>
        <w:t>Bước 1: Rà soát danh mục sản phẩm và Phân loại phạm vi điều chỉnh: Kiểm tra toàn bộ danh mục hàng hóa đang sản xuất, kinh doanh, nhập khẩu. Tách bạch các mặt hàng được loại trừ khỏi Chương II (dược, mỹ phẩm, sơn, mực in, pin, sản phẩm gia dụng hoàn chỉnh...) để dừng các thủ tục xin cấp phép hóa chất không cần thiết, giảm chi phí vận hành.</w:t>
      </w:r>
    </w:p>
    <w:p w14:paraId="013C52ED" w14:textId="77777777" w:rsidR="006A263B" w:rsidRDefault="00000000">
      <w:pPr>
        <w:pStyle w:val="ListBullet"/>
        <w:spacing w:after="60"/>
        <w:jc w:val="both"/>
      </w:pPr>
      <w:r>
        <w:rPr>
          <w:rFonts w:ascii="Times New Roman" w:hAnsi="Times New Roman"/>
          <w:b/>
          <w:color w:val="262626"/>
        </w:rPr>
        <w:t xml:space="preserve">2. </w:t>
      </w:r>
      <w:r>
        <w:rPr>
          <w:rFonts w:ascii="Times New Roman" w:hAnsi="Times New Roman"/>
          <w:color w:val="262626"/>
        </w:rPr>
        <w:t>Bước 2: Rà soát và Chuẩn hóa bằng cấp nhân sự chuyên trách an toàn: Đối chiếu bằng cấp của cán bộ phụ trách an toàn hóa chất hiện tại với Danh mục ngành nghề đào tạo tại Phụ lục III Nghị định số 25/2026/NĐ-CP. Lập kế hoạch cử nhân sự đi đào tạo bổ sung hoặc tuyển dụng thay thế kịp thời trước khi thực hiện gia hạn/cấp mới giấy phép.</w:t>
      </w:r>
    </w:p>
    <w:p w14:paraId="02461150" w14:textId="77777777" w:rsidR="006A263B" w:rsidRDefault="00000000">
      <w:pPr>
        <w:pStyle w:val="ListBullet"/>
        <w:spacing w:after="60"/>
        <w:jc w:val="both"/>
      </w:pPr>
      <w:r>
        <w:rPr>
          <w:rFonts w:ascii="Times New Roman" w:hAnsi="Times New Roman"/>
          <w:b/>
          <w:color w:val="262626"/>
        </w:rPr>
        <w:t xml:space="preserve">3. </w:t>
      </w:r>
      <w:r>
        <w:rPr>
          <w:rFonts w:ascii="Times New Roman" w:hAnsi="Times New Roman"/>
          <w:color w:val="262626"/>
        </w:rPr>
        <w:t>Bước 3: Chuẩn hóa quy trình dữ liệu xuất nhập khẩu và Hóa đơn: Cập nhật quy trình logistics nội bộ: sẵn sàng sử dụng Proforma Invoice khi làm thủ tục; thiết lập quy trình xuất trả hàng lỗi theo Khoản 5 Điều 10; chủ động khai báo 100% các lô hàng mẫu thử nghiệm qua Cổng Một cửa Quốc gia.</w:t>
      </w:r>
    </w:p>
    <w:p w14:paraId="5512DAEA" w14:textId="77777777" w:rsidR="006A263B" w:rsidRDefault="00000000">
      <w:pPr>
        <w:pStyle w:val="ListBullet"/>
        <w:spacing w:after="60"/>
        <w:jc w:val="both"/>
      </w:pPr>
      <w:r>
        <w:rPr>
          <w:rFonts w:ascii="Times New Roman" w:hAnsi="Times New Roman"/>
          <w:b/>
          <w:color w:val="262626"/>
        </w:rPr>
        <w:t xml:space="preserve">4. </w:t>
      </w:r>
      <w:r>
        <w:rPr>
          <w:rFonts w:ascii="Times New Roman" w:hAnsi="Times New Roman"/>
          <w:color w:val="262626"/>
        </w:rPr>
        <w:t>Bước 4: Thiết lập hệ thống thống kê khối lượng hóa chất trong sản phẩm: Xây dựng cơ sở dữ liệu nội bộ theo dõi chính xác tổng khối lượng hóa chất nguy hiểm có trong các sản phẩm đã sản xuất và nhập khẩu để thực hiện nghĩa vụ công bố hàng năm theo Điều 25 (sửa Điều 29) và chế độ báo cáo trước 15/01 hàng năm.</w:t>
      </w:r>
    </w:p>
    <w:p w14:paraId="4F6538D4" w14:textId="77777777" w:rsidR="006A263B" w:rsidRDefault="00000000">
      <w:pPr>
        <w:pStyle w:val="ListBullet"/>
        <w:spacing w:after="60"/>
        <w:jc w:val="both"/>
      </w:pPr>
      <w:r>
        <w:rPr>
          <w:rFonts w:ascii="Times New Roman" w:hAnsi="Times New Roman"/>
          <w:b/>
          <w:color w:val="262626"/>
        </w:rPr>
        <w:t xml:space="preserve">5. </w:t>
      </w:r>
      <w:r>
        <w:rPr>
          <w:rFonts w:ascii="Times New Roman" w:hAnsi="Times New Roman"/>
          <w:color w:val="262626"/>
        </w:rPr>
        <w:t>Bước 5: Quản lý vòng đời Giấy phép và Chuẩn bị chuyển đổi: Rà soát thời hạn hiệu lực của các Giấy chứng nhận, Giấy phép hóa chất hạn chế/hóa chất Bảng/tiền chất hiện có. Khi chuẩn bị hết hạn hoặc khi có nhu cầu mở rộng quy mô, thực hiện nộp hồ sơ trực tuyến theo quy trình rút gọn mới tại Sở Công Thương địa phương.</w:t>
      </w:r>
    </w:p>
    <w:p w14:paraId="79420B3B" w14:textId="77777777" w:rsidR="006A263B" w:rsidRDefault="00000000">
      <w:pPr>
        <w:keepNext/>
        <w:spacing w:before="320" w:after="120"/>
      </w:pPr>
      <w:r>
        <w:rPr>
          <w:rFonts w:ascii="Times New Roman" w:hAnsi="Times New Roman"/>
          <w:b/>
          <w:color w:val="1B365D"/>
          <w:sz w:val="28"/>
        </w:rPr>
        <w:t>PHẦN V: BẢNG SO SÁNH - ĐỐI CHIẾU TOÀN DIỆN &amp; THUYẾT MINH CHI TIẾT DỰ THẢO</w:t>
      </w:r>
    </w:p>
    <w:p w14:paraId="75B5DE0D" w14:textId="77777777" w:rsidR="006A263B" w:rsidRDefault="00000000">
      <w:pPr>
        <w:spacing w:after="100"/>
        <w:jc w:val="both"/>
      </w:pPr>
      <w:r>
        <w:rPr>
          <w:rFonts w:ascii="Times New Roman" w:hAnsi="Times New Roman"/>
          <w:color w:val="262626"/>
        </w:rPr>
        <w:t>Dưới đây là toàn bộ nội dung trích xuất, đối chiếu chuẩn xác từng điều khoản và thuyết minh lý do sửa đổi được chuyển ngữ và số hóa nguyên bản từ 43 trang tài liệu gốc:</w:t>
      </w:r>
    </w:p>
    <w:tbl>
      <w:tblPr>
        <w:tblW w:w="0" w:type="auto"/>
        <w:jc w:val="center"/>
        <w:tblBorders>
          <w:top w:val="single" w:sz="4" w:space="0" w:color="D3D3D3"/>
          <w:bottom w:val="single" w:sz="4" w:space="0" w:color="D3D3D3"/>
          <w:insideH w:val="single" w:sz="4" w:space="0" w:color="D3D3D3"/>
          <w:insideV w:val="single" w:sz="4" w:space="0" w:color="D3D3D3"/>
        </w:tblBorders>
        <w:tblLayout w:type="fixed"/>
        <w:tblLook w:val="04A0" w:firstRow="1" w:lastRow="0" w:firstColumn="1" w:lastColumn="0" w:noHBand="0" w:noVBand="1"/>
      </w:tblPr>
      <w:tblGrid>
        <w:gridCol w:w="3168"/>
        <w:gridCol w:w="3600"/>
        <w:gridCol w:w="3024"/>
      </w:tblGrid>
      <w:tr w:rsidR="006A263B" w14:paraId="561672BF" w14:textId="77777777">
        <w:trPr>
          <w:jc w:val="center"/>
        </w:trPr>
        <w:tc>
          <w:tcPr>
            <w:tcW w:w="3168" w:type="dxa"/>
            <w:shd w:val="clear" w:color="auto" w:fill="1B365D"/>
            <w:tcMar>
              <w:top w:w="140" w:type="dxa"/>
              <w:left w:w="140" w:type="dxa"/>
              <w:bottom w:w="140" w:type="dxa"/>
              <w:right w:w="140" w:type="dxa"/>
            </w:tcMar>
          </w:tcPr>
          <w:p w14:paraId="5D14903B" w14:textId="77777777" w:rsidR="006A263B" w:rsidRDefault="00000000">
            <w:pPr>
              <w:jc w:val="center"/>
            </w:pPr>
            <w:r>
              <w:rPr>
                <w:rFonts w:ascii="Times New Roman" w:hAnsi="Times New Roman"/>
                <w:b/>
                <w:color w:val="FFFFFF"/>
                <w:sz w:val="20"/>
              </w:rPr>
              <w:t>Quy định tại Nghị định số 26/2026/NĐ-CP</w:t>
            </w:r>
            <w:r>
              <w:rPr>
                <w:rFonts w:ascii="Times New Roman" w:hAnsi="Times New Roman"/>
                <w:b/>
                <w:color w:val="FFFFFF"/>
                <w:sz w:val="20"/>
              </w:rPr>
              <w:br/>
              <w:t>(Hiện hành)</w:t>
            </w:r>
          </w:p>
        </w:tc>
        <w:tc>
          <w:tcPr>
            <w:tcW w:w="3600" w:type="dxa"/>
            <w:shd w:val="clear" w:color="auto" w:fill="1B365D"/>
            <w:tcMar>
              <w:top w:w="140" w:type="dxa"/>
              <w:left w:w="140" w:type="dxa"/>
              <w:bottom w:w="140" w:type="dxa"/>
              <w:right w:w="140" w:type="dxa"/>
            </w:tcMar>
          </w:tcPr>
          <w:p w14:paraId="78EE1CD8" w14:textId="77777777" w:rsidR="006A263B" w:rsidRDefault="00000000">
            <w:pPr>
              <w:jc w:val="center"/>
            </w:pPr>
            <w:r>
              <w:rPr>
                <w:rFonts w:ascii="Times New Roman" w:hAnsi="Times New Roman"/>
                <w:b/>
                <w:color w:val="FFFFFF"/>
                <w:sz w:val="20"/>
              </w:rPr>
              <w:t>Dự thảo Nghị định sửa đổi, bổ sung</w:t>
            </w:r>
            <w:r>
              <w:rPr>
                <w:rFonts w:ascii="Times New Roman" w:hAnsi="Times New Roman"/>
                <w:b/>
                <w:color w:val="FFFFFF"/>
                <w:sz w:val="20"/>
              </w:rPr>
              <w:br/>
              <w:t>(Đề xuất mới)</w:t>
            </w:r>
          </w:p>
        </w:tc>
        <w:tc>
          <w:tcPr>
            <w:tcW w:w="3024" w:type="dxa"/>
            <w:shd w:val="clear" w:color="auto" w:fill="1B365D"/>
            <w:tcMar>
              <w:top w:w="140" w:type="dxa"/>
              <w:left w:w="140" w:type="dxa"/>
              <w:bottom w:w="140" w:type="dxa"/>
              <w:right w:w="140" w:type="dxa"/>
            </w:tcMar>
          </w:tcPr>
          <w:p w14:paraId="61D57C82" w14:textId="77777777" w:rsidR="006A263B" w:rsidRDefault="00000000">
            <w:pPr>
              <w:jc w:val="center"/>
            </w:pPr>
            <w:r>
              <w:rPr>
                <w:rFonts w:ascii="Times New Roman" w:hAnsi="Times New Roman"/>
                <w:b/>
                <w:color w:val="FFFFFF"/>
                <w:sz w:val="20"/>
              </w:rPr>
              <w:t>Lý do sửa đổi / Thuyết minh chính sách</w:t>
            </w:r>
            <w:r>
              <w:rPr>
                <w:rFonts w:ascii="Times New Roman" w:hAnsi="Times New Roman"/>
                <w:b/>
                <w:color w:val="FFFFFF"/>
                <w:sz w:val="20"/>
              </w:rPr>
              <w:br/>
              <w:t>(Căn cứ thực tiễn &amp; pháp lý)</w:t>
            </w:r>
          </w:p>
        </w:tc>
      </w:tr>
      <w:tr w:rsidR="006A263B" w14:paraId="488DEFA9" w14:textId="77777777">
        <w:trPr>
          <w:jc w:val="center"/>
        </w:trPr>
        <w:tc>
          <w:tcPr>
            <w:tcW w:w="3168" w:type="dxa"/>
            <w:shd w:val="clear" w:color="auto" w:fill="FFFFFF"/>
            <w:tcMar>
              <w:top w:w="120" w:type="dxa"/>
              <w:left w:w="120" w:type="dxa"/>
              <w:bottom w:w="120" w:type="dxa"/>
              <w:right w:w="120" w:type="dxa"/>
            </w:tcMar>
          </w:tcPr>
          <w:p w14:paraId="363CFC54" w14:textId="77777777" w:rsidR="006A263B" w:rsidRDefault="00000000">
            <w:pPr>
              <w:spacing w:before="40" w:after="40"/>
            </w:pPr>
            <w:r>
              <w:rPr>
                <w:rFonts w:ascii="Times New Roman" w:hAnsi="Times New Roman"/>
                <w:color w:val="262626"/>
                <w:sz w:val="19"/>
              </w:rPr>
              <w:t>Điều 1. Phạm vi điều chỉnh</w:t>
            </w:r>
            <w:r>
              <w:rPr>
                <w:rFonts w:ascii="Times New Roman" w:hAnsi="Times New Roman"/>
                <w:color w:val="262626"/>
                <w:sz w:val="19"/>
              </w:rPr>
              <w:br/>
              <w:t>(Chưa có quy định loại trừ tập trung cho Chương II; các trường hợp loại trừ nằm rải rác ở các điều khoản miễn trừ phía sau).</w:t>
            </w:r>
          </w:p>
        </w:tc>
        <w:tc>
          <w:tcPr>
            <w:tcW w:w="3600" w:type="dxa"/>
            <w:shd w:val="clear" w:color="auto" w:fill="FFFFFF"/>
            <w:tcMar>
              <w:top w:w="120" w:type="dxa"/>
              <w:left w:w="120" w:type="dxa"/>
              <w:bottom w:w="120" w:type="dxa"/>
              <w:right w:w="120" w:type="dxa"/>
            </w:tcMar>
          </w:tcPr>
          <w:p w14:paraId="5CA8EE6B" w14:textId="77777777" w:rsidR="006A263B" w:rsidRDefault="00000000">
            <w:pPr>
              <w:spacing w:before="40" w:after="40"/>
            </w:pPr>
            <w:r>
              <w:rPr>
                <w:rFonts w:ascii="Times New Roman" w:hAnsi="Times New Roman"/>
                <w:color w:val="1B365D"/>
                <w:sz w:val="19"/>
              </w:rPr>
              <w:t>Điều 1. Bổ sung Khoản 17 Điều 1:</w:t>
            </w:r>
            <w:r>
              <w:rPr>
                <w:rFonts w:ascii="Times New Roman" w:hAnsi="Times New Roman"/>
                <w:color w:val="1B365D"/>
                <w:sz w:val="19"/>
              </w:rPr>
              <w:br/>
              <w:t>“17. Quy định tại Chương II Nghị định này không áp dụng đối với:</w:t>
            </w:r>
            <w:r>
              <w:rPr>
                <w:rFonts w:ascii="Times New Roman" w:hAnsi="Times New Roman"/>
                <w:color w:val="1B365D"/>
                <w:sz w:val="19"/>
              </w:rPr>
              <w:br/>
              <w:t>a) Dược phẩm, mỹ phẩm, thực phẩm, phụ gia thực phẩm, chất hỗ trợ chế biến thực phẩm;</w:t>
            </w:r>
            <w:r>
              <w:rPr>
                <w:rFonts w:ascii="Times New Roman" w:hAnsi="Times New Roman"/>
                <w:color w:val="1B365D"/>
                <w:sz w:val="19"/>
              </w:rPr>
              <w:br/>
              <w:t>b) Thuốc bảo vệ thực vật, thuốc thú y, thức ăn chăn nuôi;</w:t>
            </w:r>
            <w:r>
              <w:rPr>
                <w:rFonts w:ascii="Times New Roman" w:hAnsi="Times New Roman"/>
                <w:color w:val="1B365D"/>
                <w:sz w:val="19"/>
              </w:rPr>
              <w:br/>
              <w:t>c) Chất phóng xạ, vật liệu hạt nhân;</w:t>
            </w:r>
            <w:r>
              <w:rPr>
                <w:rFonts w:ascii="Times New Roman" w:hAnsi="Times New Roman"/>
                <w:color w:val="1B365D"/>
                <w:sz w:val="19"/>
              </w:rPr>
              <w:br/>
              <w:t>d) Sơn, mực in, chất kết dính, đồ gia dụng hoàn chỉnh;</w:t>
            </w:r>
            <w:r>
              <w:rPr>
                <w:rFonts w:ascii="Times New Roman" w:hAnsi="Times New Roman"/>
                <w:color w:val="1B365D"/>
                <w:sz w:val="19"/>
              </w:rPr>
              <w:br/>
              <w:t xml:space="preserve">đ) Pin, ắc quy, thiết bị y tế, thiết bị điện - </w:t>
            </w:r>
            <w:r>
              <w:rPr>
                <w:rFonts w:ascii="Times New Roman" w:hAnsi="Times New Roman"/>
                <w:color w:val="1B365D"/>
                <w:sz w:val="19"/>
              </w:rPr>
              <w:lastRenderedPageBreak/>
              <w:t>điện tử;</w:t>
            </w:r>
            <w:r>
              <w:rPr>
                <w:rFonts w:ascii="Times New Roman" w:hAnsi="Times New Roman"/>
                <w:color w:val="1B365D"/>
                <w:sz w:val="19"/>
              </w:rPr>
              <w:br/>
              <w:t>e) Hóa chất phục vụ nghiên cứu khoa học dưới ngưỡng quy định.”</w:t>
            </w:r>
          </w:p>
        </w:tc>
        <w:tc>
          <w:tcPr>
            <w:tcW w:w="3024" w:type="dxa"/>
            <w:shd w:val="clear" w:color="auto" w:fill="FFFFFF"/>
            <w:tcMar>
              <w:top w:w="120" w:type="dxa"/>
              <w:left w:w="120" w:type="dxa"/>
              <w:bottom w:w="120" w:type="dxa"/>
              <w:right w:w="120" w:type="dxa"/>
            </w:tcMar>
          </w:tcPr>
          <w:p w14:paraId="57CF58C9" w14:textId="77777777" w:rsidR="006A263B" w:rsidRDefault="00000000">
            <w:pPr>
              <w:spacing w:before="40" w:after="40"/>
            </w:pPr>
            <w:r>
              <w:rPr>
                <w:rFonts w:ascii="Times New Roman" w:hAnsi="Times New Roman"/>
                <w:color w:val="262626"/>
                <w:sz w:val="19"/>
              </w:rPr>
              <w:lastRenderedPageBreak/>
              <w:t>1. Tái cấu trúc phạm vi điều chỉnh: Gom toàn bộ danh mục sản phẩm hoàn chỉnh và sản phẩm chuyên ngành lên ngay Khoản 1 Điều 1 để doanh nghiệp dễ dàng tra cứu, xác định đối tượng không thuộc diện cấp phép của Chương II ngay từ đầu.</w:t>
            </w:r>
            <w:r>
              <w:rPr>
                <w:rFonts w:ascii="Times New Roman" w:hAnsi="Times New Roman"/>
                <w:color w:val="262626"/>
                <w:sz w:val="19"/>
              </w:rPr>
              <w:br/>
              <w:t xml:space="preserve">2. Tránh chồng chéo pháp lý: Các mặt hàng này đã được điều chỉnh bởi Luật Dược, Luật An toàn thực phẩm, Luật Thú y, Luật BVTV... </w:t>
            </w:r>
            <w:r>
              <w:rPr>
                <w:rFonts w:ascii="Times New Roman" w:hAnsi="Times New Roman"/>
                <w:color w:val="262626"/>
                <w:sz w:val="19"/>
              </w:rPr>
              <w:lastRenderedPageBreak/>
              <w:t>Không để một sản phẩm chịu nhiều tầng quản lý chuyên ngành.</w:t>
            </w:r>
          </w:p>
        </w:tc>
      </w:tr>
      <w:tr w:rsidR="006A263B" w14:paraId="37910067" w14:textId="77777777">
        <w:trPr>
          <w:jc w:val="center"/>
        </w:trPr>
        <w:tc>
          <w:tcPr>
            <w:tcW w:w="3168" w:type="dxa"/>
            <w:shd w:val="clear" w:color="auto" w:fill="F9FAFB"/>
            <w:tcMar>
              <w:top w:w="120" w:type="dxa"/>
              <w:left w:w="120" w:type="dxa"/>
              <w:bottom w:w="120" w:type="dxa"/>
              <w:right w:w="120" w:type="dxa"/>
            </w:tcMar>
          </w:tcPr>
          <w:p w14:paraId="082FFBAB" w14:textId="77777777" w:rsidR="006A263B" w:rsidRDefault="00000000">
            <w:pPr>
              <w:spacing w:before="40" w:after="40"/>
            </w:pPr>
            <w:r>
              <w:rPr>
                <w:rFonts w:ascii="Times New Roman" w:hAnsi="Times New Roman"/>
                <w:color w:val="262626"/>
                <w:sz w:val="19"/>
              </w:rPr>
              <w:lastRenderedPageBreak/>
              <w:t>Điều 2. Giải thích từ ngữ</w:t>
            </w:r>
            <w:r>
              <w:rPr>
                <w:rFonts w:ascii="Times New Roman" w:hAnsi="Times New Roman"/>
                <w:color w:val="262626"/>
                <w:sz w:val="19"/>
              </w:rPr>
              <w:br/>
              <w:t>(Chưa có định nghĩa cụ thể về 'Sản phẩm gia dụng').</w:t>
            </w:r>
          </w:p>
        </w:tc>
        <w:tc>
          <w:tcPr>
            <w:tcW w:w="3600" w:type="dxa"/>
            <w:shd w:val="clear" w:color="auto" w:fill="F9FAFB"/>
            <w:tcMar>
              <w:top w:w="120" w:type="dxa"/>
              <w:left w:w="120" w:type="dxa"/>
              <w:bottom w:w="120" w:type="dxa"/>
              <w:right w:w="120" w:type="dxa"/>
            </w:tcMar>
          </w:tcPr>
          <w:p w14:paraId="33D6775C" w14:textId="77777777" w:rsidR="006A263B" w:rsidRDefault="00000000">
            <w:pPr>
              <w:spacing w:before="40" w:after="40"/>
            </w:pPr>
            <w:r>
              <w:rPr>
                <w:rFonts w:ascii="Times New Roman" w:hAnsi="Times New Roman"/>
                <w:color w:val="1B365D"/>
                <w:sz w:val="19"/>
              </w:rPr>
              <w:t>Điều 2. Bổ sung Khoản 7 Điều 2:</w:t>
            </w:r>
            <w:r>
              <w:rPr>
                <w:rFonts w:ascii="Times New Roman" w:hAnsi="Times New Roman"/>
                <w:color w:val="1B365D"/>
                <w:sz w:val="19"/>
              </w:rPr>
              <w:br/>
              <w:t>“7. Sản phẩm gia dụng là sản phẩm hoàn chỉnh phục vụ nhu cầu sinh hoạt hàng ngày trong gia đình hoặc cá nhân, bao gồm các sản phẩm tẩy rửa, làm sạch, khử mùi, chăm sóc nhà cửa và các sản phẩm tiêu dùng tương tự.”</w:t>
            </w:r>
          </w:p>
        </w:tc>
        <w:tc>
          <w:tcPr>
            <w:tcW w:w="3024" w:type="dxa"/>
            <w:shd w:val="clear" w:color="auto" w:fill="F9FAFB"/>
            <w:tcMar>
              <w:top w:w="120" w:type="dxa"/>
              <w:left w:w="120" w:type="dxa"/>
              <w:bottom w:w="120" w:type="dxa"/>
              <w:right w:w="120" w:type="dxa"/>
            </w:tcMar>
          </w:tcPr>
          <w:p w14:paraId="45ADCCA7" w14:textId="77777777" w:rsidR="006A263B" w:rsidRDefault="00000000">
            <w:pPr>
              <w:spacing w:before="40" w:after="40"/>
            </w:pPr>
            <w:r>
              <w:rPr>
                <w:rFonts w:ascii="Times New Roman" w:hAnsi="Times New Roman"/>
                <w:color w:val="262626"/>
                <w:sz w:val="19"/>
              </w:rPr>
              <w:t>Chuẩn hóa thuật ngữ pháp lý: Tạo căn cứ rành mạch để phân biệt giữa hóa chất công nghiệp nguyên liệu và sản phẩm tiêu dùng gia dụng hoàn chỉnh, phục vụ cho việc thực thi điều khoản loại trừ tại Khoản 17 Điều 1.</w:t>
            </w:r>
          </w:p>
        </w:tc>
      </w:tr>
      <w:tr w:rsidR="006A263B" w14:paraId="2D368205" w14:textId="77777777">
        <w:trPr>
          <w:jc w:val="center"/>
        </w:trPr>
        <w:tc>
          <w:tcPr>
            <w:tcW w:w="3168" w:type="dxa"/>
            <w:shd w:val="clear" w:color="auto" w:fill="FFFFFF"/>
            <w:tcMar>
              <w:top w:w="120" w:type="dxa"/>
              <w:left w:w="120" w:type="dxa"/>
              <w:bottom w:w="120" w:type="dxa"/>
              <w:right w:w="120" w:type="dxa"/>
            </w:tcMar>
          </w:tcPr>
          <w:p w14:paraId="50C9522C" w14:textId="77777777" w:rsidR="006A263B" w:rsidRDefault="00000000">
            <w:pPr>
              <w:spacing w:before="40" w:after="40"/>
            </w:pPr>
            <w:r>
              <w:rPr>
                <w:rFonts w:ascii="Times New Roman" w:hAnsi="Times New Roman"/>
                <w:color w:val="262626"/>
                <w:sz w:val="19"/>
              </w:rPr>
              <w:t>Điều 3. Trách nhiệm quản lý nhà nước về hóa chất</w:t>
            </w:r>
            <w:r>
              <w:rPr>
                <w:rFonts w:ascii="Times New Roman" w:hAnsi="Times New Roman"/>
                <w:color w:val="262626"/>
                <w:sz w:val="19"/>
              </w:rPr>
              <w:br/>
              <w:t>(Phân công chung, chưa làm rõ cơ chế phối hợp chia sẻ dữ liệu liên ngành và trách nhiệm cụ thể của từng Bộ).</w:t>
            </w:r>
          </w:p>
        </w:tc>
        <w:tc>
          <w:tcPr>
            <w:tcW w:w="3600" w:type="dxa"/>
            <w:shd w:val="clear" w:color="auto" w:fill="FFFFFF"/>
            <w:tcMar>
              <w:top w:w="120" w:type="dxa"/>
              <w:left w:w="120" w:type="dxa"/>
              <w:bottom w:w="120" w:type="dxa"/>
              <w:right w:w="120" w:type="dxa"/>
            </w:tcMar>
          </w:tcPr>
          <w:p w14:paraId="56624B42" w14:textId="77777777" w:rsidR="006A263B" w:rsidRDefault="00000000">
            <w:pPr>
              <w:spacing w:before="40" w:after="40"/>
            </w:pPr>
            <w:r>
              <w:rPr>
                <w:rFonts w:ascii="Times New Roman" w:hAnsi="Times New Roman"/>
                <w:color w:val="1B365D"/>
                <w:sz w:val="19"/>
              </w:rPr>
              <w:t>Điều 3. Sửa đổi, bổ sung Điều 3:</w:t>
            </w:r>
            <w:r>
              <w:rPr>
                <w:rFonts w:ascii="Times New Roman" w:hAnsi="Times New Roman"/>
                <w:color w:val="1B365D"/>
                <w:sz w:val="19"/>
              </w:rPr>
              <w:br/>
              <w:t>- Bộ Công Thương là cơ quan đầu mối quản lý nhà nước về hóa chất trên phạm vi cả nước.</w:t>
            </w:r>
            <w:r>
              <w:rPr>
                <w:rFonts w:ascii="Times New Roman" w:hAnsi="Times New Roman"/>
                <w:color w:val="1B365D"/>
                <w:sz w:val="19"/>
              </w:rPr>
              <w:br/>
              <w:t>- Bộ Y tế, Bộ NN&amp;PTNT, Bộ KH&amp;CN, Bộ Công an, Bộ Quốc phòng trong phạm vi quyền hạn có trách nhiệm quản lý hóa chất theo lĩnh vực chuyên ngành và chia sẻ dữ liệu về CSDL quốc gia.</w:t>
            </w:r>
            <w:r>
              <w:rPr>
                <w:rFonts w:ascii="Times New Roman" w:hAnsi="Times New Roman"/>
                <w:color w:val="1B365D"/>
                <w:sz w:val="19"/>
              </w:rPr>
              <w:br/>
              <w:t>- Bộ Tài chính (Hải quan) chia sẻ dữ liệu XNK thời gian thực.</w:t>
            </w:r>
            <w:r>
              <w:rPr>
                <w:rFonts w:ascii="Times New Roman" w:hAnsi="Times New Roman"/>
                <w:color w:val="1B365D"/>
                <w:sz w:val="19"/>
              </w:rPr>
              <w:br/>
              <w:t>- UBND cấp tỉnh chịu trách nhiệm quản lý, cấp phép và thanh tra, kiểm tra trên địa bàn.</w:t>
            </w:r>
          </w:p>
        </w:tc>
        <w:tc>
          <w:tcPr>
            <w:tcW w:w="3024" w:type="dxa"/>
            <w:shd w:val="clear" w:color="auto" w:fill="FFFFFF"/>
            <w:tcMar>
              <w:top w:w="120" w:type="dxa"/>
              <w:left w:w="120" w:type="dxa"/>
              <w:bottom w:w="120" w:type="dxa"/>
              <w:right w:w="120" w:type="dxa"/>
            </w:tcMar>
          </w:tcPr>
          <w:p w14:paraId="13EE04B0" w14:textId="77777777" w:rsidR="006A263B" w:rsidRDefault="00000000">
            <w:pPr>
              <w:spacing w:before="40" w:after="40"/>
            </w:pPr>
            <w:r>
              <w:rPr>
                <w:rFonts w:ascii="Times New Roman" w:hAnsi="Times New Roman"/>
                <w:color w:val="262626"/>
                <w:sz w:val="19"/>
              </w:rPr>
              <w:t>Tăng cường hiệu lực quản lý liên ngành: Xác lập rõ ràng vai trò đầu mối điều phối của Bộ Công Thương, cơ chế chia sẻ dữ liệu bắt buộc giữa các Bộ và phân quyền toàn diện cho UBND cấp tỉnh thực thi tại địa phương.</w:t>
            </w:r>
          </w:p>
        </w:tc>
      </w:tr>
      <w:tr w:rsidR="006A263B" w14:paraId="2F57EFAC" w14:textId="77777777">
        <w:trPr>
          <w:jc w:val="center"/>
        </w:trPr>
        <w:tc>
          <w:tcPr>
            <w:tcW w:w="3168" w:type="dxa"/>
            <w:shd w:val="clear" w:color="auto" w:fill="F9FAFB"/>
            <w:tcMar>
              <w:top w:w="120" w:type="dxa"/>
              <w:left w:w="120" w:type="dxa"/>
              <w:bottom w:w="120" w:type="dxa"/>
              <w:right w:w="120" w:type="dxa"/>
            </w:tcMar>
          </w:tcPr>
          <w:p w14:paraId="1F26C87E" w14:textId="77777777" w:rsidR="006A263B" w:rsidRDefault="00000000">
            <w:pPr>
              <w:spacing w:before="40" w:after="40"/>
            </w:pPr>
            <w:r>
              <w:rPr>
                <w:rFonts w:ascii="Times New Roman" w:hAnsi="Times New Roman"/>
                <w:color w:val="262626"/>
                <w:sz w:val="19"/>
              </w:rPr>
              <w:t>Điều 4 &amp; Điều 5. Quy định về cơ sở vật chất, nhà xưởng, kho chứa và trang thiết bị an toàn hóa chất.</w:t>
            </w:r>
            <w:r>
              <w:rPr>
                <w:rFonts w:ascii="Times New Roman" w:hAnsi="Times New Roman"/>
                <w:color w:val="262626"/>
                <w:sz w:val="19"/>
              </w:rPr>
              <w:br/>
              <w:t>(Quy định chi tiết các tiêu chuẩn kỹ thuật nhà xưởng, khoảng cách an toàn, hệ thống chiếu sáng, thông gió...).</w:t>
            </w:r>
          </w:p>
        </w:tc>
        <w:tc>
          <w:tcPr>
            <w:tcW w:w="3600" w:type="dxa"/>
            <w:shd w:val="clear" w:color="auto" w:fill="F9FAFB"/>
            <w:tcMar>
              <w:top w:w="120" w:type="dxa"/>
              <w:left w:w="120" w:type="dxa"/>
              <w:bottom w:w="120" w:type="dxa"/>
              <w:right w:w="120" w:type="dxa"/>
            </w:tcMar>
          </w:tcPr>
          <w:p w14:paraId="2DE658F9" w14:textId="77777777" w:rsidR="006A263B" w:rsidRDefault="00000000">
            <w:pPr>
              <w:spacing w:before="40" w:after="40"/>
            </w:pPr>
            <w:r>
              <w:rPr>
                <w:rFonts w:ascii="Times New Roman" w:hAnsi="Times New Roman"/>
                <w:color w:val="1B365D"/>
                <w:sz w:val="19"/>
              </w:rPr>
              <w:t>Điều 4 &amp; Điều 5. Bãi bỏ các nội dung quy định chi tiết về cơ sở vật chất, kho bãi tại Nghị định 26;</w:t>
            </w:r>
            <w:r>
              <w:rPr>
                <w:rFonts w:ascii="Times New Roman" w:hAnsi="Times New Roman"/>
                <w:color w:val="1B365D"/>
                <w:sz w:val="19"/>
              </w:rPr>
              <w:br/>
              <w:t>Dẫn chiếu áp dụng thống nhất theo Quy chuẩn kỹ thuật quốc gia QCVN 05A:2020/BCT và các quy định an toàn tại Nghị định số 25/2026/NĐ-CP.</w:t>
            </w:r>
          </w:p>
        </w:tc>
        <w:tc>
          <w:tcPr>
            <w:tcW w:w="3024" w:type="dxa"/>
            <w:shd w:val="clear" w:color="auto" w:fill="F9FAFB"/>
            <w:tcMar>
              <w:top w:w="120" w:type="dxa"/>
              <w:left w:w="120" w:type="dxa"/>
              <w:bottom w:w="120" w:type="dxa"/>
              <w:right w:w="120" w:type="dxa"/>
            </w:tcMar>
          </w:tcPr>
          <w:p w14:paraId="78F02211" w14:textId="77777777" w:rsidR="006A263B" w:rsidRDefault="00000000">
            <w:pPr>
              <w:spacing w:before="40" w:after="40"/>
            </w:pPr>
            <w:r>
              <w:rPr>
                <w:rFonts w:ascii="Times New Roman" w:hAnsi="Times New Roman"/>
                <w:color w:val="262626"/>
                <w:sz w:val="19"/>
              </w:rPr>
              <w:t>Xóa bỏ trùng lặp quy chuẩn: Nghị định số 25/2026/NĐ-CP đã quy định toàn diện về điều kiện an toàn, kỹ thuật cơ sở vật chất. Việc bãi bỏ tại Nghị định 26 giúp tránh xung đột văn bản và giảm gánh nặng rà soát cho doanh nghiệp.</w:t>
            </w:r>
          </w:p>
        </w:tc>
      </w:tr>
      <w:tr w:rsidR="006A263B" w14:paraId="729D0CD8" w14:textId="77777777">
        <w:trPr>
          <w:jc w:val="center"/>
        </w:trPr>
        <w:tc>
          <w:tcPr>
            <w:tcW w:w="3168" w:type="dxa"/>
            <w:shd w:val="clear" w:color="auto" w:fill="FFFFFF"/>
            <w:tcMar>
              <w:top w:w="120" w:type="dxa"/>
              <w:left w:w="120" w:type="dxa"/>
              <w:bottom w:w="120" w:type="dxa"/>
              <w:right w:w="120" w:type="dxa"/>
            </w:tcMar>
          </w:tcPr>
          <w:p w14:paraId="5B9258F3" w14:textId="77777777" w:rsidR="006A263B" w:rsidRDefault="00000000">
            <w:pPr>
              <w:spacing w:before="40" w:after="40"/>
            </w:pPr>
            <w:r>
              <w:rPr>
                <w:rFonts w:ascii="Times New Roman" w:hAnsi="Times New Roman"/>
                <w:color w:val="262626"/>
                <w:sz w:val="19"/>
              </w:rPr>
              <w:t>Điều 6. Khai báo hóa chất nhập khẩu</w:t>
            </w:r>
            <w:r>
              <w:rPr>
                <w:rFonts w:ascii="Times New Roman" w:hAnsi="Times New Roman"/>
                <w:color w:val="262626"/>
                <w:sz w:val="19"/>
              </w:rPr>
              <w:br/>
              <w:t>Khoản 7 Điều 6:</w:t>
            </w:r>
            <w:r>
              <w:rPr>
                <w:rFonts w:ascii="Times New Roman" w:hAnsi="Times New Roman"/>
                <w:color w:val="262626"/>
                <w:sz w:val="19"/>
              </w:rPr>
              <w:br/>
              <w:t>“c) Hóa chất nhập khẩu dưới 10 kg/lần nhập khẩu...</w:t>
            </w:r>
            <w:r>
              <w:rPr>
                <w:rFonts w:ascii="Times New Roman" w:hAnsi="Times New Roman"/>
                <w:color w:val="262626"/>
                <w:sz w:val="19"/>
              </w:rPr>
              <w:br/>
              <w:t>d) Hóa chất là mẫu thử nghiệm dưới 1 kg/lần nhập khẩu...” (Được miễn trừ khai báo).</w:t>
            </w:r>
          </w:p>
        </w:tc>
        <w:tc>
          <w:tcPr>
            <w:tcW w:w="3600" w:type="dxa"/>
            <w:shd w:val="clear" w:color="auto" w:fill="FFFFFF"/>
            <w:tcMar>
              <w:top w:w="120" w:type="dxa"/>
              <w:left w:w="120" w:type="dxa"/>
              <w:bottom w:w="120" w:type="dxa"/>
              <w:right w:w="120" w:type="dxa"/>
            </w:tcMar>
          </w:tcPr>
          <w:p w14:paraId="186B365A" w14:textId="77777777" w:rsidR="006A263B" w:rsidRDefault="00000000">
            <w:pPr>
              <w:spacing w:before="40" w:after="40"/>
            </w:pPr>
            <w:r>
              <w:rPr>
                <w:rFonts w:ascii="Times New Roman" w:hAnsi="Times New Roman"/>
                <w:color w:val="1B365D"/>
                <w:sz w:val="19"/>
              </w:rPr>
              <w:t>Điều 6. Sửa đổi Điều 6:</w:t>
            </w:r>
            <w:r>
              <w:rPr>
                <w:rFonts w:ascii="Times New Roman" w:hAnsi="Times New Roman"/>
                <w:color w:val="1B365D"/>
                <w:sz w:val="19"/>
              </w:rPr>
              <w:br/>
              <w:t>BÃI BỎ điểm c và điểm d Khoản 7 Điều 6.</w:t>
            </w:r>
            <w:r>
              <w:rPr>
                <w:rFonts w:ascii="Times New Roman" w:hAnsi="Times New Roman"/>
                <w:color w:val="1B365D"/>
                <w:sz w:val="19"/>
              </w:rPr>
              <w:br/>
              <w:t>(Toàn bộ các lô hàng hóa chất nhập khẩu đều phải thực hiện khai báo điện tử qua Cổng Thông tin Một cửa Quốc gia).</w:t>
            </w:r>
          </w:p>
        </w:tc>
        <w:tc>
          <w:tcPr>
            <w:tcW w:w="3024" w:type="dxa"/>
            <w:shd w:val="clear" w:color="auto" w:fill="FFFFFF"/>
            <w:tcMar>
              <w:top w:w="120" w:type="dxa"/>
              <w:left w:w="120" w:type="dxa"/>
              <w:bottom w:w="120" w:type="dxa"/>
              <w:right w:w="120" w:type="dxa"/>
            </w:tcMar>
          </w:tcPr>
          <w:p w14:paraId="6410C687" w14:textId="77777777" w:rsidR="006A263B" w:rsidRDefault="00000000">
            <w:pPr>
              <w:spacing w:before="40" w:after="40"/>
            </w:pPr>
            <w:r>
              <w:rPr>
                <w:rFonts w:ascii="Times New Roman" w:hAnsi="Times New Roman"/>
                <w:color w:val="262626"/>
                <w:sz w:val="19"/>
              </w:rPr>
              <w:t>1. Bịt kín lỗ hổng kiểm soát: Khắc phục tình trạng chia nhỏ lô hàng dưới 10kg hoặc khai báo mẫu thử &lt;1kg để trốn tránh khai báo đối với hóa chất nguy hiểm và tiền chất.</w:t>
            </w:r>
            <w:r>
              <w:rPr>
                <w:rFonts w:ascii="Times New Roman" w:hAnsi="Times New Roman"/>
                <w:color w:val="262626"/>
                <w:sz w:val="19"/>
              </w:rPr>
              <w:br/>
              <w:t>2. Khả thi trong thực thi: Cổng Một cửa Quốc gia hiện tiếp nhận và phản hồi tự động 24/7, việc khai báo trực tuyến không làm phát sinh chi phí hay cản trở doanh nghiệp.</w:t>
            </w:r>
          </w:p>
        </w:tc>
      </w:tr>
      <w:tr w:rsidR="006A263B" w14:paraId="3BC2E52C" w14:textId="77777777">
        <w:trPr>
          <w:jc w:val="center"/>
        </w:trPr>
        <w:tc>
          <w:tcPr>
            <w:tcW w:w="3168" w:type="dxa"/>
            <w:shd w:val="clear" w:color="auto" w:fill="F9FAFB"/>
            <w:tcMar>
              <w:top w:w="120" w:type="dxa"/>
              <w:left w:w="120" w:type="dxa"/>
              <w:bottom w:w="120" w:type="dxa"/>
              <w:right w:w="120" w:type="dxa"/>
            </w:tcMar>
          </w:tcPr>
          <w:p w14:paraId="0E02B894" w14:textId="77777777" w:rsidR="006A263B" w:rsidRDefault="00000000">
            <w:pPr>
              <w:spacing w:before="40" w:after="40"/>
            </w:pPr>
            <w:r>
              <w:rPr>
                <w:rFonts w:ascii="Times New Roman" w:hAnsi="Times New Roman"/>
                <w:color w:val="262626"/>
                <w:sz w:val="19"/>
              </w:rPr>
              <w:t>Điều 7 &amp; Điều 8. Điều kiện sản xuất, kinh doanh hóa chất sản xuất, kinh doanh có điều kiện</w:t>
            </w:r>
            <w:r>
              <w:rPr>
                <w:rFonts w:ascii="Times New Roman" w:hAnsi="Times New Roman"/>
                <w:color w:val="262626"/>
                <w:sz w:val="19"/>
              </w:rPr>
              <w:br/>
              <w:t>- Quy định chi tiết điều kiện nhà xưởng, kho chứa, thiết bị.</w:t>
            </w:r>
            <w:r>
              <w:rPr>
                <w:rFonts w:ascii="Times New Roman" w:hAnsi="Times New Roman"/>
                <w:color w:val="262626"/>
                <w:sz w:val="19"/>
              </w:rPr>
              <w:br/>
              <w:t xml:space="preserve">- Yêu cầu người phụ trách an toàn có bằng đại học/trung cấp chuyên ngành </w:t>
            </w:r>
            <w:r>
              <w:rPr>
                <w:rFonts w:ascii="Times New Roman" w:hAnsi="Times New Roman"/>
                <w:color w:val="262626"/>
                <w:sz w:val="19"/>
              </w:rPr>
              <w:lastRenderedPageBreak/>
              <w:t>hóa chất.</w:t>
            </w:r>
          </w:p>
        </w:tc>
        <w:tc>
          <w:tcPr>
            <w:tcW w:w="3600" w:type="dxa"/>
            <w:shd w:val="clear" w:color="auto" w:fill="F9FAFB"/>
            <w:tcMar>
              <w:top w:w="120" w:type="dxa"/>
              <w:left w:w="120" w:type="dxa"/>
              <w:bottom w:w="120" w:type="dxa"/>
              <w:right w:w="120" w:type="dxa"/>
            </w:tcMar>
          </w:tcPr>
          <w:p w14:paraId="196FADDB" w14:textId="77777777" w:rsidR="006A263B" w:rsidRDefault="00000000">
            <w:pPr>
              <w:spacing w:before="40" w:after="40"/>
            </w:pPr>
            <w:r>
              <w:rPr>
                <w:rFonts w:ascii="Times New Roman" w:hAnsi="Times New Roman"/>
                <w:color w:val="1B365D"/>
                <w:sz w:val="19"/>
              </w:rPr>
              <w:lastRenderedPageBreak/>
              <w:t>Điều 7 &amp; Điều 8. Sửa đổi, bổ sung:</w:t>
            </w:r>
            <w:r>
              <w:rPr>
                <w:rFonts w:ascii="Times New Roman" w:hAnsi="Times New Roman"/>
                <w:color w:val="1B365D"/>
                <w:sz w:val="19"/>
              </w:rPr>
              <w:br/>
              <w:t>- Bãi bỏ các điều kiện về nhà xưởng, kho chứa (thực hiện theo Nghị định 25/2026/NĐ-CP).</w:t>
            </w:r>
            <w:r>
              <w:rPr>
                <w:rFonts w:ascii="Times New Roman" w:hAnsi="Times New Roman"/>
                <w:color w:val="1B365D"/>
                <w:sz w:val="19"/>
              </w:rPr>
              <w:br/>
              <w:t xml:space="preserve">- Chuẩn hóa điều kiện nhân sự: Người phụ trách an toàn phải có bằng cử nhân (đối với sản xuất) hoặc trung cấp (đối với kinh </w:t>
            </w:r>
            <w:r>
              <w:rPr>
                <w:rFonts w:ascii="Times New Roman" w:hAnsi="Times New Roman"/>
                <w:color w:val="1B365D"/>
                <w:sz w:val="19"/>
              </w:rPr>
              <w:lastRenderedPageBreak/>
              <w:t>doanh) ngành hóa học theo Danh mục tại Phụ lục III Nghị định số 25/2026/NĐ-CP.</w:t>
            </w:r>
          </w:p>
        </w:tc>
        <w:tc>
          <w:tcPr>
            <w:tcW w:w="3024" w:type="dxa"/>
            <w:shd w:val="clear" w:color="auto" w:fill="F9FAFB"/>
            <w:tcMar>
              <w:top w:w="120" w:type="dxa"/>
              <w:left w:w="120" w:type="dxa"/>
              <w:bottom w:w="120" w:type="dxa"/>
              <w:right w:w="120" w:type="dxa"/>
            </w:tcMar>
          </w:tcPr>
          <w:p w14:paraId="6C6D64DA" w14:textId="77777777" w:rsidR="006A263B" w:rsidRDefault="00000000">
            <w:pPr>
              <w:spacing w:before="40" w:after="40"/>
            </w:pPr>
            <w:r>
              <w:rPr>
                <w:rFonts w:ascii="Times New Roman" w:hAnsi="Times New Roman"/>
                <w:color w:val="262626"/>
                <w:sz w:val="19"/>
              </w:rPr>
              <w:lastRenderedPageBreak/>
              <w:t>1. Tinh gọn điều kiện kinh doanh: Tách bạch rõ ràng điều kiện pháp lý chung và tiêu chuẩn kỹ thuật kho bãi.</w:t>
            </w:r>
            <w:r>
              <w:rPr>
                <w:rFonts w:ascii="Times New Roman" w:hAnsi="Times New Roman"/>
                <w:color w:val="262626"/>
                <w:sz w:val="19"/>
              </w:rPr>
              <w:br/>
              <w:t xml:space="preserve">2. Chuẩn hóa bằng cấp: Xác định cụ thể danh mục ngành nghề đào tạo được chấp nhận, chấm dứt tình </w:t>
            </w:r>
            <w:r>
              <w:rPr>
                <w:rFonts w:ascii="Times New Roman" w:hAnsi="Times New Roman"/>
                <w:color w:val="262626"/>
                <w:sz w:val="19"/>
              </w:rPr>
              <w:lastRenderedPageBreak/>
              <w:t>trạng tranh cãi về 'chuyên ngành hóa chất' khi thẩm định hồ sơ.</w:t>
            </w:r>
          </w:p>
        </w:tc>
      </w:tr>
      <w:tr w:rsidR="006A263B" w14:paraId="026EB81B" w14:textId="77777777">
        <w:trPr>
          <w:jc w:val="center"/>
        </w:trPr>
        <w:tc>
          <w:tcPr>
            <w:tcW w:w="3168" w:type="dxa"/>
            <w:shd w:val="clear" w:color="auto" w:fill="FFFFFF"/>
            <w:tcMar>
              <w:top w:w="120" w:type="dxa"/>
              <w:left w:w="120" w:type="dxa"/>
              <w:bottom w:w="120" w:type="dxa"/>
              <w:right w:w="120" w:type="dxa"/>
            </w:tcMar>
          </w:tcPr>
          <w:p w14:paraId="3EDEAB11" w14:textId="77777777" w:rsidR="006A263B" w:rsidRDefault="00000000">
            <w:pPr>
              <w:spacing w:before="40" w:after="40"/>
            </w:pPr>
            <w:r>
              <w:rPr>
                <w:rFonts w:ascii="Times New Roman" w:hAnsi="Times New Roman"/>
                <w:color w:val="262626"/>
                <w:sz w:val="19"/>
              </w:rPr>
              <w:lastRenderedPageBreak/>
              <w:t>Điều 9. Hồ sơ, trình tự cấp Giấy chứng nhận đủ điều kiện sản xuất, kinh doanh hóa chất</w:t>
            </w:r>
            <w:r>
              <w:rPr>
                <w:rFonts w:ascii="Times New Roman" w:hAnsi="Times New Roman"/>
                <w:color w:val="262626"/>
                <w:sz w:val="19"/>
              </w:rPr>
              <w:br/>
              <w:t>- Thành phần hồ sơ yêu cầu nộp: Bản dữ liệu an toàn hóa chất (MSDS); Văn bản nghiệm thu công trình xây dựng.</w:t>
            </w:r>
            <w:r>
              <w:rPr>
                <w:rFonts w:ascii="Times New Roman" w:hAnsi="Times New Roman"/>
                <w:color w:val="262626"/>
                <w:sz w:val="19"/>
              </w:rPr>
              <w:br/>
              <w:t>- Thời hạn cấp lại Giấy chứng nhận: 05 ngày làm việc.</w:t>
            </w:r>
          </w:p>
        </w:tc>
        <w:tc>
          <w:tcPr>
            <w:tcW w:w="3600" w:type="dxa"/>
            <w:shd w:val="clear" w:color="auto" w:fill="FFFFFF"/>
            <w:tcMar>
              <w:top w:w="120" w:type="dxa"/>
              <w:left w:w="120" w:type="dxa"/>
              <w:bottom w:w="120" w:type="dxa"/>
              <w:right w:w="120" w:type="dxa"/>
            </w:tcMar>
          </w:tcPr>
          <w:p w14:paraId="7F557C18" w14:textId="77777777" w:rsidR="006A263B" w:rsidRDefault="00000000">
            <w:pPr>
              <w:spacing w:before="40" w:after="40"/>
            </w:pPr>
            <w:r>
              <w:rPr>
                <w:rFonts w:ascii="Times New Roman" w:hAnsi="Times New Roman"/>
                <w:color w:val="1B365D"/>
                <w:sz w:val="19"/>
              </w:rPr>
              <w:t>Điều 9. Sửa đổi, bổ sung Điều 9:</w:t>
            </w:r>
            <w:r>
              <w:rPr>
                <w:rFonts w:ascii="Times New Roman" w:hAnsi="Times New Roman"/>
                <w:color w:val="1B365D"/>
                <w:sz w:val="19"/>
              </w:rPr>
              <w:br/>
              <w:t>- Bãi bỏ yêu cầu nộp MSDS trong hồ sơ (cơ quan cấp phép tra cứu trực tiếp trên CSDL quốc gia).</w:t>
            </w:r>
            <w:r>
              <w:rPr>
                <w:rFonts w:ascii="Times New Roman" w:hAnsi="Times New Roman"/>
                <w:color w:val="1B365D"/>
                <w:sz w:val="19"/>
              </w:rPr>
              <w:br/>
              <w:t>- Bãi bỏ văn bản nghiệm thu công trình xây dựng.</w:t>
            </w:r>
            <w:r>
              <w:rPr>
                <w:rFonts w:ascii="Times New Roman" w:hAnsi="Times New Roman"/>
                <w:color w:val="1B365D"/>
                <w:sz w:val="19"/>
              </w:rPr>
              <w:br/>
              <w:t>- Rút ngắn thời hạn cấp lại Giấy chứng nhận từ 05 ngày xuống còn 03 NGÀY LÀM VIỆC.</w:t>
            </w:r>
            <w:r>
              <w:rPr>
                <w:rFonts w:ascii="Times New Roman" w:hAnsi="Times New Roman"/>
                <w:color w:val="1B365D"/>
                <w:sz w:val="19"/>
              </w:rPr>
              <w:br/>
              <w:t>- Giấy chứng nhận có thời hạn hiệu lực 05 năm.</w:t>
            </w:r>
          </w:p>
        </w:tc>
        <w:tc>
          <w:tcPr>
            <w:tcW w:w="3024" w:type="dxa"/>
            <w:shd w:val="clear" w:color="auto" w:fill="FFFFFF"/>
            <w:tcMar>
              <w:top w:w="120" w:type="dxa"/>
              <w:left w:w="120" w:type="dxa"/>
              <w:bottom w:w="120" w:type="dxa"/>
              <w:right w:w="120" w:type="dxa"/>
            </w:tcMar>
          </w:tcPr>
          <w:p w14:paraId="0D86AB85" w14:textId="77777777" w:rsidR="006A263B" w:rsidRDefault="00000000">
            <w:pPr>
              <w:spacing w:before="40" w:after="40"/>
            </w:pPr>
            <w:r>
              <w:rPr>
                <w:rFonts w:ascii="Times New Roman" w:hAnsi="Times New Roman"/>
                <w:color w:val="262626"/>
                <w:sz w:val="19"/>
              </w:rPr>
              <w:t>1. Thực hiện Nghị quyết 19/2026/NQ-CP: Cắt giảm thành phần hồ sơ trùng lặp đã được cơ quan nhà nước quản lý ở các bước khác.</w:t>
            </w:r>
            <w:r>
              <w:rPr>
                <w:rFonts w:ascii="Times New Roman" w:hAnsi="Times New Roman"/>
                <w:color w:val="262626"/>
                <w:sz w:val="19"/>
              </w:rPr>
              <w:br/>
              <w:t>2. Rút ngắn 40% thời gian xử lý: Đẩy nhanh tốc độ cấp lại giấy chứng nhận khi thay đổi thông tin hành chính, hạn chế gián đoạn kinh doanh của doanh nghiệp.</w:t>
            </w:r>
          </w:p>
        </w:tc>
      </w:tr>
      <w:tr w:rsidR="006A263B" w14:paraId="35C242EC" w14:textId="77777777">
        <w:trPr>
          <w:jc w:val="center"/>
        </w:trPr>
        <w:tc>
          <w:tcPr>
            <w:tcW w:w="3168" w:type="dxa"/>
            <w:shd w:val="clear" w:color="auto" w:fill="F9FAFB"/>
            <w:tcMar>
              <w:top w:w="120" w:type="dxa"/>
              <w:left w:w="120" w:type="dxa"/>
              <w:bottom w:w="120" w:type="dxa"/>
              <w:right w:w="120" w:type="dxa"/>
            </w:tcMar>
          </w:tcPr>
          <w:p w14:paraId="6C998C6B" w14:textId="77777777" w:rsidR="006A263B" w:rsidRDefault="00000000">
            <w:pPr>
              <w:spacing w:before="40" w:after="40"/>
            </w:pPr>
            <w:r>
              <w:rPr>
                <w:rFonts w:ascii="Times New Roman" w:hAnsi="Times New Roman"/>
                <w:color w:val="262626"/>
                <w:sz w:val="19"/>
              </w:rPr>
              <w:t>Điều 10. Hoạt động kinh doanh và xuất nhập khẩu hóa chất</w:t>
            </w:r>
            <w:r>
              <w:rPr>
                <w:rFonts w:ascii="Times New Roman" w:hAnsi="Times New Roman"/>
                <w:color w:val="262626"/>
                <w:sz w:val="19"/>
              </w:rPr>
              <w:br/>
              <w:t>(Chưa có quy định xử lý đối với trường hợp hóa chất bị lỗi, không phù hợp hợp đồng cần xuất trả lại chủ hàng nước ngoài).</w:t>
            </w:r>
          </w:p>
        </w:tc>
        <w:tc>
          <w:tcPr>
            <w:tcW w:w="3600" w:type="dxa"/>
            <w:shd w:val="clear" w:color="auto" w:fill="F9FAFB"/>
            <w:tcMar>
              <w:top w:w="120" w:type="dxa"/>
              <w:left w:w="120" w:type="dxa"/>
              <w:bottom w:w="120" w:type="dxa"/>
              <w:right w:w="120" w:type="dxa"/>
            </w:tcMar>
          </w:tcPr>
          <w:p w14:paraId="59ACCFF2" w14:textId="77777777" w:rsidR="006A263B" w:rsidRDefault="00000000">
            <w:pPr>
              <w:spacing w:before="40" w:after="40"/>
            </w:pPr>
            <w:r>
              <w:rPr>
                <w:rFonts w:ascii="Times New Roman" w:hAnsi="Times New Roman"/>
                <w:color w:val="1B365D"/>
                <w:sz w:val="19"/>
              </w:rPr>
              <w:t>Điều 10. Bổ sung Khoản 5 Điều 10:</w:t>
            </w:r>
            <w:r>
              <w:rPr>
                <w:rFonts w:ascii="Times New Roman" w:hAnsi="Times New Roman"/>
                <w:color w:val="1B365D"/>
                <w:sz w:val="19"/>
              </w:rPr>
              <w:br/>
              <w:t>“5. Tổ chức, cá nhân đã nhập khẩu hóa chất nhưng sản phẩm bị lỗi, không phù hợp hợp đồng hoặc bị đối tác nước ngoài từ chối, được phép xuất trả (tái xuất) cho chủ hàng nước ngoài mà KHÔNG CẦN CÓ GIẤY PHÉP KINH DOANH hóa chất.”</w:t>
            </w:r>
          </w:p>
        </w:tc>
        <w:tc>
          <w:tcPr>
            <w:tcW w:w="3024" w:type="dxa"/>
            <w:shd w:val="clear" w:color="auto" w:fill="F9FAFB"/>
            <w:tcMar>
              <w:top w:w="120" w:type="dxa"/>
              <w:left w:w="120" w:type="dxa"/>
              <w:bottom w:w="120" w:type="dxa"/>
              <w:right w:w="120" w:type="dxa"/>
            </w:tcMar>
          </w:tcPr>
          <w:p w14:paraId="55B2570C" w14:textId="77777777" w:rsidR="006A263B" w:rsidRDefault="00000000">
            <w:pPr>
              <w:spacing w:before="40" w:after="40"/>
            </w:pPr>
            <w:r>
              <w:rPr>
                <w:rFonts w:ascii="Times New Roman" w:hAnsi="Times New Roman"/>
                <w:color w:val="262626"/>
                <w:sz w:val="19"/>
              </w:rPr>
              <w:t>Tháo gỡ điểm nghẽn thực tiễn: Tạo hành lang pháp lý thông thoáng cho doanh nghiệp sản xuất khi gặp sự cố nguyên liệu lỗi không đạt chuẩn có thể xuất trả đối tác ngay mà không bị vướng mắc điều kiện 'kinh doanh hóa chất'.</w:t>
            </w:r>
          </w:p>
        </w:tc>
      </w:tr>
      <w:tr w:rsidR="006A263B" w14:paraId="4C7A67D3" w14:textId="77777777">
        <w:trPr>
          <w:jc w:val="center"/>
        </w:trPr>
        <w:tc>
          <w:tcPr>
            <w:tcW w:w="3168" w:type="dxa"/>
            <w:shd w:val="clear" w:color="auto" w:fill="FFFFFF"/>
            <w:tcMar>
              <w:top w:w="120" w:type="dxa"/>
              <w:left w:w="120" w:type="dxa"/>
              <w:bottom w:w="120" w:type="dxa"/>
              <w:right w:w="120" w:type="dxa"/>
            </w:tcMar>
          </w:tcPr>
          <w:p w14:paraId="788E3039" w14:textId="77777777" w:rsidR="006A263B" w:rsidRDefault="00000000">
            <w:pPr>
              <w:spacing w:before="40" w:after="40"/>
            </w:pPr>
            <w:r>
              <w:rPr>
                <w:rFonts w:ascii="Times New Roman" w:hAnsi="Times New Roman"/>
                <w:color w:val="262626"/>
                <w:sz w:val="19"/>
              </w:rPr>
              <w:t>Điều 11, 12, 13. Điều kiện, hồ sơ cấp Giấy phép sản xuất, kinh doanh hóa chất hạn chế / Hóa chất cần kiểm soát đặc biệt</w:t>
            </w:r>
            <w:r>
              <w:rPr>
                <w:rFonts w:ascii="Times New Roman" w:hAnsi="Times New Roman"/>
                <w:color w:val="262626"/>
                <w:sz w:val="19"/>
              </w:rPr>
              <w:br/>
              <w:t>- Yêu cầu nộp hồ sơ giấy phức tạp.</w:t>
            </w:r>
            <w:r>
              <w:rPr>
                <w:rFonts w:ascii="Times New Roman" w:hAnsi="Times New Roman"/>
                <w:color w:val="262626"/>
                <w:sz w:val="19"/>
              </w:rPr>
              <w:br/>
              <w:t>- Thời hạn thẩm định, cấp phép: 16 ngày làm việc.</w:t>
            </w:r>
          </w:p>
        </w:tc>
        <w:tc>
          <w:tcPr>
            <w:tcW w:w="3600" w:type="dxa"/>
            <w:shd w:val="clear" w:color="auto" w:fill="FFFFFF"/>
            <w:tcMar>
              <w:top w:w="120" w:type="dxa"/>
              <w:left w:w="120" w:type="dxa"/>
              <w:bottom w:w="120" w:type="dxa"/>
              <w:right w:w="120" w:type="dxa"/>
            </w:tcMar>
          </w:tcPr>
          <w:p w14:paraId="01DCE868" w14:textId="77777777" w:rsidR="006A263B" w:rsidRDefault="00000000">
            <w:pPr>
              <w:spacing w:before="40" w:after="40"/>
            </w:pPr>
            <w:r>
              <w:rPr>
                <w:rFonts w:ascii="Times New Roman" w:hAnsi="Times New Roman"/>
                <w:color w:val="1B365D"/>
                <w:sz w:val="19"/>
              </w:rPr>
              <w:t>Điều 11, 12, 13. Sửa đổi, bổ sung:</w:t>
            </w:r>
            <w:r>
              <w:rPr>
                <w:rFonts w:ascii="Times New Roman" w:hAnsi="Times New Roman"/>
                <w:color w:val="1B365D"/>
                <w:sz w:val="19"/>
              </w:rPr>
              <w:br/>
              <w:t>- Chuẩn hóa bằng cấp nhân sự theo Phụ lục III Nghị định 25/2026/NĐ-CP.</w:t>
            </w:r>
            <w:r>
              <w:rPr>
                <w:rFonts w:ascii="Times New Roman" w:hAnsi="Times New Roman"/>
                <w:color w:val="1B365D"/>
                <w:sz w:val="19"/>
              </w:rPr>
              <w:br/>
              <w:t>- Số hóa toàn bộ quy trình nộp và xử lý hồ sơ qua dịch vụ công trực tuyến.</w:t>
            </w:r>
            <w:r>
              <w:rPr>
                <w:rFonts w:ascii="Times New Roman" w:hAnsi="Times New Roman"/>
                <w:color w:val="1B365D"/>
                <w:sz w:val="19"/>
              </w:rPr>
              <w:br/>
              <w:t>- Rút ngắn thời hạn thẩm định, cấp phép từ 16 ngày xuống còn 14 NGÀY LÀM VIỆC.</w:t>
            </w:r>
          </w:p>
        </w:tc>
        <w:tc>
          <w:tcPr>
            <w:tcW w:w="3024" w:type="dxa"/>
            <w:shd w:val="clear" w:color="auto" w:fill="FFFFFF"/>
            <w:tcMar>
              <w:top w:w="120" w:type="dxa"/>
              <w:left w:w="120" w:type="dxa"/>
              <w:bottom w:w="120" w:type="dxa"/>
              <w:right w:w="120" w:type="dxa"/>
            </w:tcMar>
          </w:tcPr>
          <w:p w14:paraId="12CC8E43" w14:textId="77777777" w:rsidR="006A263B" w:rsidRDefault="00000000">
            <w:pPr>
              <w:spacing w:before="40" w:after="40"/>
            </w:pPr>
            <w:r>
              <w:rPr>
                <w:rFonts w:ascii="Times New Roman" w:hAnsi="Times New Roman"/>
                <w:color w:val="262626"/>
                <w:sz w:val="19"/>
              </w:rPr>
              <w:t>1. Đơn giản hóa thủ tục hành chính: Rút ngắn thời gian thẩm định thực tế cho các nhóm hóa chất có tính chất nguy hại cao.</w:t>
            </w:r>
            <w:r>
              <w:rPr>
                <w:rFonts w:ascii="Times New Roman" w:hAnsi="Times New Roman"/>
                <w:color w:val="262626"/>
                <w:sz w:val="19"/>
              </w:rPr>
              <w:br/>
              <w:t>2. Thúc đẩy chuyển đổi số: Nộp hồ sơ và trả kết quả điện tử giúp tiết kiệm chi phí đi lại và in ấn cho doanh nghiệp.</w:t>
            </w:r>
          </w:p>
        </w:tc>
      </w:tr>
      <w:tr w:rsidR="006A263B" w14:paraId="20D0A11A" w14:textId="77777777">
        <w:trPr>
          <w:jc w:val="center"/>
        </w:trPr>
        <w:tc>
          <w:tcPr>
            <w:tcW w:w="3168" w:type="dxa"/>
            <w:shd w:val="clear" w:color="auto" w:fill="F9FAFB"/>
            <w:tcMar>
              <w:top w:w="120" w:type="dxa"/>
              <w:left w:w="120" w:type="dxa"/>
              <w:bottom w:w="120" w:type="dxa"/>
              <w:right w:w="120" w:type="dxa"/>
            </w:tcMar>
          </w:tcPr>
          <w:p w14:paraId="0EEDDF13" w14:textId="77777777" w:rsidR="006A263B" w:rsidRDefault="00000000">
            <w:pPr>
              <w:spacing w:before="40" w:after="40"/>
            </w:pPr>
            <w:r>
              <w:rPr>
                <w:rFonts w:ascii="Times New Roman" w:hAnsi="Times New Roman"/>
                <w:color w:val="262626"/>
                <w:sz w:val="19"/>
              </w:rPr>
              <w:t>Điều 14. Trình tự cấp Giấy phép xuất khẩu, nhập khẩu hóa chất cần kiểm soát đặc biệt</w:t>
            </w:r>
            <w:r>
              <w:rPr>
                <w:rFonts w:ascii="Times New Roman" w:hAnsi="Times New Roman"/>
                <w:color w:val="262626"/>
                <w:sz w:val="19"/>
              </w:rPr>
              <w:br/>
              <w:t>- Yêu cầu lập tài khoản riêng trên hệ thống.</w:t>
            </w:r>
            <w:r>
              <w:rPr>
                <w:rFonts w:ascii="Times New Roman" w:hAnsi="Times New Roman"/>
                <w:color w:val="262626"/>
                <w:sz w:val="19"/>
              </w:rPr>
              <w:br/>
              <w:t>- Bắt buộc phải có Hóa đơn thương mại chính thức (Commercial Invoice).</w:t>
            </w:r>
            <w:r>
              <w:rPr>
                <w:rFonts w:ascii="Times New Roman" w:hAnsi="Times New Roman"/>
                <w:color w:val="262626"/>
                <w:sz w:val="19"/>
              </w:rPr>
              <w:br/>
              <w:t>- Thời hạn gia hạn Giấy phép: 05 ngày làm việc.</w:t>
            </w:r>
          </w:p>
        </w:tc>
        <w:tc>
          <w:tcPr>
            <w:tcW w:w="3600" w:type="dxa"/>
            <w:shd w:val="clear" w:color="auto" w:fill="F9FAFB"/>
            <w:tcMar>
              <w:top w:w="120" w:type="dxa"/>
              <w:left w:w="120" w:type="dxa"/>
              <w:bottom w:w="120" w:type="dxa"/>
              <w:right w:w="120" w:type="dxa"/>
            </w:tcMar>
          </w:tcPr>
          <w:p w14:paraId="56939213" w14:textId="77777777" w:rsidR="006A263B" w:rsidRDefault="00000000">
            <w:pPr>
              <w:spacing w:before="40" w:after="40"/>
            </w:pPr>
            <w:r>
              <w:rPr>
                <w:rFonts w:ascii="Times New Roman" w:hAnsi="Times New Roman"/>
                <w:color w:val="1B365D"/>
                <w:sz w:val="19"/>
              </w:rPr>
              <w:t>Điều 14. Sửa đổi, bổ sung Điều 14:</w:t>
            </w:r>
            <w:r>
              <w:rPr>
                <w:rFonts w:ascii="Times New Roman" w:hAnsi="Times New Roman"/>
                <w:color w:val="1B365D"/>
                <w:sz w:val="19"/>
              </w:rPr>
              <w:br/>
              <w:t>- Sử dụng thống nhất tài khoản Cổng Thông tin Một cửa Quốc gia (bãi bỏ lập tài khoản trùng lặp).</w:t>
            </w:r>
            <w:r>
              <w:rPr>
                <w:rFonts w:ascii="Times New Roman" w:hAnsi="Times New Roman"/>
                <w:color w:val="1B365D"/>
                <w:sz w:val="19"/>
              </w:rPr>
              <w:br/>
              <w:t>- Chấp nhận Hóa đơn thương mại HOẶC Hóa đơn chiếu lệ (Proforma Invoice).</w:t>
            </w:r>
            <w:r>
              <w:rPr>
                <w:rFonts w:ascii="Times New Roman" w:hAnsi="Times New Roman"/>
                <w:color w:val="1B365D"/>
                <w:sz w:val="19"/>
              </w:rPr>
              <w:br/>
              <w:t>- Cho phép xuất khẩu đối với hàng hóa bị lỗi cần xuất trả.</w:t>
            </w:r>
            <w:r>
              <w:rPr>
                <w:rFonts w:ascii="Times New Roman" w:hAnsi="Times New Roman"/>
                <w:color w:val="1B365D"/>
                <w:sz w:val="19"/>
              </w:rPr>
              <w:br/>
              <w:t>- Rút ngắn thời gian gia hạn từ 05 ngày xuống còn 03 NGÀY LÀM VIỆC.</w:t>
            </w:r>
          </w:p>
        </w:tc>
        <w:tc>
          <w:tcPr>
            <w:tcW w:w="3024" w:type="dxa"/>
            <w:shd w:val="clear" w:color="auto" w:fill="F9FAFB"/>
            <w:tcMar>
              <w:top w:w="120" w:type="dxa"/>
              <w:left w:w="120" w:type="dxa"/>
              <w:bottom w:w="120" w:type="dxa"/>
              <w:right w:w="120" w:type="dxa"/>
            </w:tcMar>
          </w:tcPr>
          <w:p w14:paraId="7657C940" w14:textId="77777777" w:rsidR="006A263B" w:rsidRDefault="00000000">
            <w:pPr>
              <w:spacing w:before="40" w:after="40"/>
            </w:pPr>
            <w:r>
              <w:rPr>
                <w:rFonts w:ascii="Times New Roman" w:hAnsi="Times New Roman"/>
                <w:color w:val="262626"/>
                <w:sz w:val="19"/>
              </w:rPr>
              <w:t>1. Linh hoạt hóa chứng từ thương mại: Việc chấp nhận Proforma Invoice giúp doanh nghiệp chủ động xin phép nhập khẩu trước khi hàng về cảng, giảm thời gian lưu kho lưu bãi.</w:t>
            </w:r>
            <w:r>
              <w:rPr>
                <w:rFonts w:ascii="Times New Roman" w:hAnsi="Times New Roman"/>
                <w:color w:val="262626"/>
                <w:sz w:val="19"/>
              </w:rPr>
              <w:br/>
              <w:t>2. Giảm 40% thời gian xử lý: Rút ngắn thời gian gia hạn xuống 03 ngày làm việc.</w:t>
            </w:r>
          </w:p>
        </w:tc>
      </w:tr>
      <w:tr w:rsidR="006A263B" w14:paraId="20572E7C" w14:textId="77777777">
        <w:trPr>
          <w:jc w:val="center"/>
        </w:trPr>
        <w:tc>
          <w:tcPr>
            <w:tcW w:w="3168" w:type="dxa"/>
            <w:shd w:val="clear" w:color="auto" w:fill="FFFFFF"/>
            <w:tcMar>
              <w:top w:w="120" w:type="dxa"/>
              <w:left w:w="120" w:type="dxa"/>
              <w:bottom w:w="120" w:type="dxa"/>
              <w:right w:w="120" w:type="dxa"/>
            </w:tcMar>
          </w:tcPr>
          <w:p w14:paraId="7EC117DE" w14:textId="77777777" w:rsidR="006A263B" w:rsidRDefault="00000000">
            <w:pPr>
              <w:spacing w:before="40" w:after="40"/>
            </w:pPr>
            <w:r>
              <w:rPr>
                <w:rFonts w:ascii="Times New Roman" w:hAnsi="Times New Roman"/>
                <w:color w:val="262626"/>
                <w:sz w:val="19"/>
              </w:rPr>
              <w:t>Điều 15. Công bố loại hóa chất và mục đích sử dụng</w:t>
            </w:r>
            <w:r>
              <w:rPr>
                <w:rFonts w:ascii="Times New Roman" w:hAnsi="Times New Roman"/>
                <w:color w:val="262626"/>
                <w:sz w:val="19"/>
              </w:rPr>
              <w:br/>
              <w:t>Doanh nghiệp phải gửi văn bản công bố về Bộ Công Thương chậm nhất 30 ngày trước khi đưa hóa chất vào sử dụng.</w:t>
            </w:r>
          </w:p>
        </w:tc>
        <w:tc>
          <w:tcPr>
            <w:tcW w:w="3600" w:type="dxa"/>
            <w:shd w:val="clear" w:color="auto" w:fill="FFFFFF"/>
            <w:tcMar>
              <w:top w:w="120" w:type="dxa"/>
              <w:left w:w="120" w:type="dxa"/>
              <w:bottom w:w="120" w:type="dxa"/>
              <w:right w:w="120" w:type="dxa"/>
            </w:tcMar>
          </w:tcPr>
          <w:p w14:paraId="50BD8D0B" w14:textId="77777777" w:rsidR="006A263B" w:rsidRDefault="00000000">
            <w:pPr>
              <w:spacing w:before="40" w:after="40"/>
            </w:pPr>
            <w:r>
              <w:rPr>
                <w:rFonts w:ascii="Times New Roman" w:hAnsi="Times New Roman"/>
                <w:color w:val="1B365D"/>
                <w:sz w:val="19"/>
              </w:rPr>
              <w:t>Điều 15. Sửa đổi Điều 15:</w:t>
            </w:r>
            <w:r>
              <w:rPr>
                <w:rFonts w:ascii="Times New Roman" w:hAnsi="Times New Roman"/>
                <w:color w:val="1B365D"/>
                <w:sz w:val="19"/>
              </w:rPr>
              <w:br/>
              <w:t>Tổ chức, cá nhân thực hiện công bố loại hóa chất và mục đích sử dụng trên CSDL chuyên ngành hóa chất TRƯỚC KHI NHẬP KHẨU LẦN ĐẦU (thay vì mốc 30 ngày trước khi sử dụng).</w:t>
            </w:r>
          </w:p>
        </w:tc>
        <w:tc>
          <w:tcPr>
            <w:tcW w:w="3024" w:type="dxa"/>
            <w:shd w:val="clear" w:color="auto" w:fill="FFFFFF"/>
            <w:tcMar>
              <w:top w:w="120" w:type="dxa"/>
              <w:left w:w="120" w:type="dxa"/>
              <w:bottom w:w="120" w:type="dxa"/>
              <w:right w:w="120" w:type="dxa"/>
            </w:tcMar>
          </w:tcPr>
          <w:p w14:paraId="12D8C055" w14:textId="77777777" w:rsidR="006A263B" w:rsidRDefault="00000000">
            <w:pPr>
              <w:spacing w:before="40" w:after="40"/>
            </w:pPr>
            <w:r>
              <w:rPr>
                <w:rFonts w:ascii="Times New Roman" w:hAnsi="Times New Roman"/>
                <w:color w:val="262626"/>
                <w:sz w:val="19"/>
              </w:rPr>
              <w:t>Kiểm soát từ gốc chuỗi cung ứng: Chuyển thời điểm công bố sang trước khi nhập khẩu lần đầu giúp cơ quan quản lý nắm bắt chính xác dòng hóa chất ngay từ khâu thông quan, đồng thời giúp doanh nghiệp chủ động kế hoạch sử dụng.</w:t>
            </w:r>
          </w:p>
        </w:tc>
      </w:tr>
      <w:tr w:rsidR="006A263B" w14:paraId="37225DC4" w14:textId="77777777">
        <w:trPr>
          <w:jc w:val="center"/>
        </w:trPr>
        <w:tc>
          <w:tcPr>
            <w:tcW w:w="3168" w:type="dxa"/>
            <w:shd w:val="clear" w:color="auto" w:fill="F9FAFB"/>
            <w:tcMar>
              <w:top w:w="120" w:type="dxa"/>
              <w:left w:w="120" w:type="dxa"/>
              <w:bottom w:w="120" w:type="dxa"/>
              <w:right w:w="120" w:type="dxa"/>
            </w:tcMar>
          </w:tcPr>
          <w:p w14:paraId="4B9F07F7" w14:textId="77777777" w:rsidR="006A263B" w:rsidRDefault="00000000">
            <w:pPr>
              <w:spacing w:before="40" w:after="40"/>
            </w:pPr>
            <w:r>
              <w:rPr>
                <w:rFonts w:ascii="Times New Roman" w:hAnsi="Times New Roman"/>
                <w:color w:val="262626"/>
                <w:sz w:val="19"/>
              </w:rPr>
              <w:t xml:space="preserve">Điều 16. Điều kiện sản xuất hóa chất </w:t>
            </w:r>
            <w:r>
              <w:rPr>
                <w:rFonts w:ascii="Times New Roman" w:hAnsi="Times New Roman"/>
                <w:color w:val="262626"/>
                <w:sz w:val="19"/>
              </w:rPr>
              <w:lastRenderedPageBreak/>
              <w:t>cấm</w:t>
            </w:r>
            <w:r>
              <w:rPr>
                <w:rFonts w:ascii="Times New Roman" w:hAnsi="Times New Roman"/>
                <w:color w:val="262626"/>
                <w:sz w:val="19"/>
              </w:rPr>
              <w:br/>
              <w:t>- Quy định mục đích được phép sản xuất còn chung chung.</w:t>
            </w:r>
            <w:r>
              <w:rPr>
                <w:rFonts w:ascii="Times New Roman" w:hAnsi="Times New Roman"/>
                <w:color w:val="262626"/>
                <w:sz w:val="19"/>
              </w:rPr>
              <w:br/>
              <w:t>- Dẫn chiếu danh mục cũ.</w:t>
            </w:r>
          </w:p>
        </w:tc>
        <w:tc>
          <w:tcPr>
            <w:tcW w:w="3600" w:type="dxa"/>
            <w:shd w:val="clear" w:color="auto" w:fill="F9FAFB"/>
            <w:tcMar>
              <w:top w:w="120" w:type="dxa"/>
              <w:left w:w="120" w:type="dxa"/>
              <w:bottom w:w="120" w:type="dxa"/>
              <w:right w:w="120" w:type="dxa"/>
            </w:tcMar>
          </w:tcPr>
          <w:p w14:paraId="2F015C0F" w14:textId="77777777" w:rsidR="006A263B" w:rsidRDefault="00000000">
            <w:pPr>
              <w:spacing w:before="40" w:after="40"/>
            </w:pPr>
            <w:r>
              <w:rPr>
                <w:rFonts w:ascii="Times New Roman" w:hAnsi="Times New Roman"/>
                <w:color w:val="1B365D"/>
                <w:sz w:val="19"/>
              </w:rPr>
              <w:lastRenderedPageBreak/>
              <w:t>Điều 16. Sửa đổi, bổ sung Điều 16:</w:t>
            </w:r>
            <w:r>
              <w:rPr>
                <w:rFonts w:ascii="Times New Roman" w:hAnsi="Times New Roman"/>
                <w:color w:val="1B365D"/>
                <w:sz w:val="19"/>
              </w:rPr>
              <w:br/>
            </w:r>
            <w:r>
              <w:rPr>
                <w:rFonts w:ascii="Times New Roman" w:hAnsi="Times New Roman"/>
                <w:color w:val="1B365D"/>
                <w:sz w:val="19"/>
              </w:rPr>
              <w:lastRenderedPageBreak/>
              <w:t>- Cụ thể hóa các mục đích đặc biệt được phép sản xuất: Phân tích, kiểm nghiệm, nghiên cứu khoa học, y tế, dược phẩm, điều tra tội phạm.</w:t>
            </w:r>
            <w:r>
              <w:rPr>
                <w:rFonts w:ascii="Times New Roman" w:hAnsi="Times New Roman"/>
                <w:color w:val="1B365D"/>
                <w:sz w:val="19"/>
              </w:rPr>
              <w:br/>
              <w:t>- Dẫn chiếu áp dụng theo Phụ lục I Nghị định số 33/2024/NĐ-CP.</w:t>
            </w:r>
            <w:r>
              <w:rPr>
                <w:rFonts w:ascii="Times New Roman" w:hAnsi="Times New Roman"/>
                <w:color w:val="1B365D"/>
                <w:sz w:val="19"/>
              </w:rPr>
              <w:br/>
              <w:t>- Chuẩn hóa bằng cấp nhân sự theo Phụ lục III Nghị định số 25/2026/NĐ-CP.</w:t>
            </w:r>
          </w:p>
        </w:tc>
        <w:tc>
          <w:tcPr>
            <w:tcW w:w="3024" w:type="dxa"/>
            <w:shd w:val="clear" w:color="auto" w:fill="F9FAFB"/>
            <w:tcMar>
              <w:top w:w="120" w:type="dxa"/>
              <w:left w:w="120" w:type="dxa"/>
              <w:bottom w:w="120" w:type="dxa"/>
              <w:right w:w="120" w:type="dxa"/>
            </w:tcMar>
          </w:tcPr>
          <w:p w14:paraId="6235704E" w14:textId="77777777" w:rsidR="006A263B" w:rsidRDefault="00000000">
            <w:pPr>
              <w:spacing w:before="40" w:after="40"/>
            </w:pPr>
            <w:r>
              <w:rPr>
                <w:rFonts w:ascii="Times New Roman" w:hAnsi="Times New Roman"/>
                <w:color w:val="262626"/>
                <w:sz w:val="19"/>
              </w:rPr>
              <w:lastRenderedPageBreak/>
              <w:t xml:space="preserve">1. Minh bạch hóa mục đích: Phù </w:t>
            </w:r>
            <w:r>
              <w:rPr>
                <w:rFonts w:ascii="Times New Roman" w:hAnsi="Times New Roman"/>
                <w:color w:val="262626"/>
                <w:sz w:val="19"/>
              </w:rPr>
              <w:lastRenderedPageBreak/>
              <w:t>hợp với các điều ước quốc tế (Công ước Cấm vũ khí hóa học) và Luật Hóa chất.</w:t>
            </w:r>
            <w:r>
              <w:rPr>
                <w:rFonts w:ascii="Times New Roman" w:hAnsi="Times New Roman"/>
                <w:color w:val="262626"/>
                <w:sz w:val="19"/>
              </w:rPr>
              <w:br/>
              <w:t>2. Đồng bộ hóa hệ thống: Dẫn chiếu chuẩn xác sang Nghị định 33/2024/NĐ-CP và Nghị định 25/2026/NĐ-CP.</w:t>
            </w:r>
          </w:p>
        </w:tc>
      </w:tr>
      <w:tr w:rsidR="006A263B" w14:paraId="493D84B5" w14:textId="77777777">
        <w:trPr>
          <w:jc w:val="center"/>
        </w:trPr>
        <w:tc>
          <w:tcPr>
            <w:tcW w:w="3168" w:type="dxa"/>
            <w:shd w:val="clear" w:color="auto" w:fill="FFFFFF"/>
            <w:tcMar>
              <w:top w:w="120" w:type="dxa"/>
              <w:left w:w="120" w:type="dxa"/>
              <w:bottom w:w="120" w:type="dxa"/>
              <w:right w:w="120" w:type="dxa"/>
            </w:tcMar>
          </w:tcPr>
          <w:p w14:paraId="3C740497" w14:textId="77777777" w:rsidR="006A263B" w:rsidRDefault="00000000">
            <w:pPr>
              <w:spacing w:before="40" w:after="40"/>
            </w:pPr>
            <w:r>
              <w:rPr>
                <w:rFonts w:ascii="Times New Roman" w:hAnsi="Times New Roman"/>
                <w:color w:val="262626"/>
                <w:sz w:val="19"/>
              </w:rPr>
              <w:lastRenderedPageBreak/>
              <w:t>Điều 17. Hồ sơ, trình tự cấp Giấy phép sản xuất hóa chất cấm</w:t>
            </w:r>
            <w:r>
              <w:rPr>
                <w:rFonts w:ascii="Times New Roman" w:hAnsi="Times New Roman"/>
                <w:color w:val="262626"/>
                <w:sz w:val="19"/>
              </w:rPr>
              <w:br/>
              <w:t>- Thành phần hồ sơ yêu cầu nộp: Văn bản nghiệm thu công trình xây dựng; MSDS.</w:t>
            </w:r>
            <w:r>
              <w:rPr>
                <w:rFonts w:ascii="Times New Roman" w:hAnsi="Times New Roman"/>
                <w:color w:val="262626"/>
                <w:sz w:val="19"/>
              </w:rPr>
              <w:br/>
              <w:t>- Thời hạn cấp phép: 16 ngày làm việc.</w:t>
            </w:r>
          </w:p>
        </w:tc>
        <w:tc>
          <w:tcPr>
            <w:tcW w:w="3600" w:type="dxa"/>
            <w:shd w:val="clear" w:color="auto" w:fill="FFFFFF"/>
            <w:tcMar>
              <w:top w:w="120" w:type="dxa"/>
              <w:left w:w="120" w:type="dxa"/>
              <w:bottom w:w="120" w:type="dxa"/>
              <w:right w:w="120" w:type="dxa"/>
            </w:tcMar>
          </w:tcPr>
          <w:p w14:paraId="49E0ED45" w14:textId="77777777" w:rsidR="006A263B" w:rsidRDefault="00000000">
            <w:pPr>
              <w:spacing w:before="40" w:after="40"/>
            </w:pPr>
            <w:r>
              <w:rPr>
                <w:rFonts w:ascii="Times New Roman" w:hAnsi="Times New Roman"/>
                <w:color w:val="1B365D"/>
                <w:sz w:val="19"/>
              </w:rPr>
              <w:t>Điều 17. Sửa đổi, bổ sung Điều 17:</w:t>
            </w:r>
            <w:r>
              <w:rPr>
                <w:rFonts w:ascii="Times New Roman" w:hAnsi="Times New Roman"/>
                <w:color w:val="1B365D"/>
                <w:sz w:val="19"/>
              </w:rPr>
              <w:br/>
              <w:t>- Cắt giảm văn bản nghiệm thu công trình và MSDS khỏi thành phần hồ sơ.</w:t>
            </w:r>
            <w:r>
              <w:rPr>
                <w:rFonts w:ascii="Times New Roman" w:hAnsi="Times New Roman"/>
                <w:color w:val="1B365D"/>
                <w:sz w:val="19"/>
              </w:rPr>
              <w:br/>
              <w:t>- Bổ sung tài liệu chứng minh mục đích đặc biệt (nghiên cứu, y tế, dược phẩm, điều tra).</w:t>
            </w:r>
            <w:r>
              <w:rPr>
                <w:rFonts w:ascii="Times New Roman" w:hAnsi="Times New Roman"/>
                <w:color w:val="1B365D"/>
                <w:sz w:val="19"/>
              </w:rPr>
              <w:br/>
              <w:t>- Thời hạn cấp mới: 14 ngày làm việc; Cấp lại: 03 ngày làm việc.</w:t>
            </w:r>
          </w:p>
        </w:tc>
        <w:tc>
          <w:tcPr>
            <w:tcW w:w="3024" w:type="dxa"/>
            <w:shd w:val="clear" w:color="auto" w:fill="FFFFFF"/>
            <w:tcMar>
              <w:top w:w="120" w:type="dxa"/>
              <w:left w:w="120" w:type="dxa"/>
              <w:bottom w:w="120" w:type="dxa"/>
              <w:right w:w="120" w:type="dxa"/>
            </w:tcMar>
          </w:tcPr>
          <w:p w14:paraId="54FB56CB" w14:textId="77777777" w:rsidR="006A263B" w:rsidRDefault="00000000">
            <w:pPr>
              <w:spacing w:before="40" w:after="40"/>
            </w:pPr>
            <w:r>
              <w:rPr>
                <w:rFonts w:ascii="Times New Roman" w:hAnsi="Times New Roman"/>
                <w:color w:val="262626"/>
                <w:sz w:val="19"/>
              </w:rPr>
              <w:t>Đơn giản hóa thủ tục hành chính: Loại bỏ giấy tờ không cần thiết nhưng siết chặt kiểm tra mục đích sử dụng thực tế của hóa chất cấm nhằm đảm bảo an ninh, an toàn quốc gia.</w:t>
            </w:r>
          </w:p>
        </w:tc>
      </w:tr>
      <w:tr w:rsidR="006A263B" w14:paraId="5CAAB4B1" w14:textId="77777777">
        <w:trPr>
          <w:jc w:val="center"/>
        </w:trPr>
        <w:tc>
          <w:tcPr>
            <w:tcW w:w="3168" w:type="dxa"/>
            <w:shd w:val="clear" w:color="auto" w:fill="F9FAFB"/>
            <w:tcMar>
              <w:top w:w="120" w:type="dxa"/>
              <w:left w:w="120" w:type="dxa"/>
              <w:bottom w:w="120" w:type="dxa"/>
              <w:right w:w="120" w:type="dxa"/>
            </w:tcMar>
          </w:tcPr>
          <w:p w14:paraId="58190139" w14:textId="77777777" w:rsidR="006A263B" w:rsidRDefault="00000000">
            <w:pPr>
              <w:spacing w:before="40" w:after="40"/>
            </w:pPr>
            <w:r>
              <w:rPr>
                <w:rFonts w:ascii="Times New Roman" w:hAnsi="Times New Roman"/>
                <w:color w:val="262626"/>
                <w:sz w:val="19"/>
              </w:rPr>
              <w:t>Điều 18. Cấp Giấy phép xuất khẩu, nhập khẩu hóa chất cấm</w:t>
            </w:r>
            <w:r>
              <w:rPr>
                <w:rFonts w:ascii="Times New Roman" w:hAnsi="Times New Roman"/>
                <w:color w:val="262626"/>
                <w:sz w:val="19"/>
              </w:rPr>
              <w:br/>
              <w:t>- Thành phần hồ sơ yêu cầu nộp: Bản sao Giấy phép sản xuất hóa chất cấm.</w:t>
            </w:r>
            <w:r>
              <w:rPr>
                <w:rFonts w:ascii="Times New Roman" w:hAnsi="Times New Roman"/>
                <w:color w:val="262626"/>
                <w:sz w:val="19"/>
              </w:rPr>
              <w:br/>
              <w:t>- Thời hạn thẩm định cấp phép: 07 ngày làm việc; Cấp lại: 05 ngày làm việc.</w:t>
            </w:r>
          </w:p>
        </w:tc>
        <w:tc>
          <w:tcPr>
            <w:tcW w:w="3600" w:type="dxa"/>
            <w:shd w:val="clear" w:color="auto" w:fill="F9FAFB"/>
            <w:tcMar>
              <w:top w:w="120" w:type="dxa"/>
              <w:left w:w="120" w:type="dxa"/>
              <w:bottom w:w="120" w:type="dxa"/>
              <w:right w:w="120" w:type="dxa"/>
            </w:tcMar>
          </w:tcPr>
          <w:p w14:paraId="5250D002" w14:textId="77777777" w:rsidR="006A263B" w:rsidRDefault="00000000">
            <w:pPr>
              <w:spacing w:before="40" w:after="40"/>
            </w:pPr>
            <w:r>
              <w:rPr>
                <w:rFonts w:ascii="Times New Roman" w:hAnsi="Times New Roman"/>
                <w:color w:val="1B365D"/>
                <w:sz w:val="19"/>
              </w:rPr>
              <w:t>Điều 18. Sửa đổi, bổ sung Điều 18:</w:t>
            </w:r>
            <w:r>
              <w:rPr>
                <w:rFonts w:ascii="Times New Roman" w:hAnsi="Times New Roman"/>
                <w:color w:val="1B365D"/>
                <w:sz w:val="19"/>
              </w:rPr>
              <w:br/>
              <w:t>- Bãi bỏ yêu cầu nộp Bản sao Giấy phép sản xuất trong hồ sơ xin cấp phép XNK.</w:t>
            </w:r>
            <w:r>
              <w:rPr>
                <w:rFonts w:ascii="Times New Roman" w:hAnsi="Times New Roman"/>
                <w:color w:val="1B365D"/>
                <w:sz w:val="19"/>
              </w:rPr>
              <w:br/>
              <w:t>- Rút ngắn thời hạn cấp phép từ 07 ngày xuống còn 05 NGÀY LÀM VIỆC; Cấp lại xuống 03 NGÀY LÀM VIỆC.</w:t>
            </w:r>
          </w:p>
        </w:tc>
        <w:tc>
          <w:tcPr>
            <w:tcW w:w="3024" w:type="dxa"/>
            <w:shd w:val="clear" w:color="auto" w:fill="F9FAFB"/>
            <w:tcMar>
              <w:top w:w="120" w:type="dxa"/>
              <w:left w:w="120" w:type="dxa"/>
              <w:bottom w:w="120" w:type="dxa"/>
              <w:right w:w="120" w:type="dxa"/>
            </w:tcMar>
          </w:tcPr>
          <w:p w14:paraId="0148B093" w14:textId="77777777" w:rsidR="006A263B" w:rsidRDefault="00000000">
            <w:pPr>
              <w:spacing w:before="40" w:after="40"/>
            </w:pPr>
            <w:r>
              <w:rPr>
                <w:rFonts w:ascii="Times New Roman" w:hAnsi="Times New Roman"/>
                <w:color w:val="262626"/>
                <w:sz w:val="19"/>
              </w:rPr>
              <w:t>Cắt giảm thủ tục hành chính: Cơ quan cấp phép tự kiểm tra Giấy phép sản xuất trên hệ thống dữ liệu nội bộ, không yêu cầu doanh nghiệp nộp lại giấy tờ do chính Bộ cấp.</w:t>
            </w:r>
          </w:p>
        </w:tc>
      </w:tr>
      <w:tr w:rsidR="006A263B" w14:paraId="236DD600" w14:textId="77777777">
        <w:trPr>
          <w:jc w:val="center"/>
        </w:trPr>
        <w:tc>
          <w:tcPr>
            <w:tcW w:w="3168" w:type="dxa"/>
            <w:shd w:val="clear" w:color="auto" w:fill="FFFFFF"/>
            <w:tcMar>
              <w:top w:w="120" w:type="dxa"/>
              <w:left w:w="120" w:type="dxa"/>
              <w:bottom w:w="120" w:type="dxa"/>
              <w:right w:w="120" w:type="dxa"/>
            </w:tcMar>
          </w:tcPr>
          <w:p w14:paraId="1BE2DA79" w14:textId="77777777" w:rsidR="006A263B" w:rsidRDefault="00000000">
            <w:pPr>
              <w:spacing w:before="40" w:after="40"/>
            </w:pPr>
            <w:r>
              <w:rPr>
                <w:rFonts w:ascii="Times New Roman" w:hAnsi="Times New Roman"/>
                <w:color w:val="262626"/>
                <w:sz w:val="19"/>
              </w:rPr>
              <w:t>Điều 19. Điều kiện hoạt động dịch vụ tồn trữ hóa chất</w:t>
            </w:r>
            <w:r>
              <w:rPr>
                <w:rFonts w:ascii="Times New Roman" w:hAnsi="Times New Roman"/>
                <w:color w:val="262626"/>
                <w:sz w:val="19"/>
              </w:rPr>
              <w:br/>
              <w:t>- Quy định chi tiết các yêu cầu kỹ thuật kho bãi, thông gió, sàn chống thấm...</w:t>
            </w:r>
            <w:r>
              <w:rPr>
                <w:rFonts w:ascii="Times New Roman" w:hAnsi="Times New Roman"/>
                <w:color w:val="262626"/>
                <w:sz w:val="19"/>
              </w:rPr>
              <w:br/>
              <w:t>- Yêu cầu người quản lý chuyên môn có bằng đại học chuyên ngành.</w:t>
            </w:r>
          </w:p>
        </w:tc>
        <w:tc>
          <w:tcPr>
            <w:tcW w:w="3600" w:type="dxa"/>
            <w:shd w:val="clear" w:color="auto" w:fill="FFFFFF"/>
            <w:tcMar>
              <w:top w:w="120" w:type="dxa"/>
              <w:left w:w="120" w:type="dxa"/>
              <w:bottom w:w="120" w:type="dxa"/>
              <w:right w:w="120" w:type="dxa"/>
            </w:tcMar>
          </w:tcPr>
          <w:p w14:paraId="68E40FAC" w14:textId="77777777" w:rsidR="006A263B" w:rsidRDefault="00000000">
            <w:pPr>
              <w:spacing w:before="40" w:after="40"/>
            </w:pPr>
            <w:r>
              <w:rPr>
                <w:rFonts w:ascii="Times New Roman" w:hAnsi="Times New Roman"/>
                <w:color w:val="1B365D"/>
                <w:sz w:val="19"/>
              </w:rPr>
              <w:t>Điều 19. Sửa đổi, bổ sung Điều 19:</w:t>
            </w:r>
            <w:r>
              <w:rPr>
                <w:rFonts w:ascii="Times New Roman" w:hAnsi="Times New Roman"/>
                <w:color w:val="1B365D"/>
                <w:sz w:val="19"/>
              </w:rPr>
              <w:br/>
              <w:t>- Bãi bỏ các quy định mô tả kho bãi (dẫn chiếu áp dụng Nghị định 25/2026/NĐ-CP và QCVN 05A:2020/BCT).</w:t>
            </w:r>
            <w:r>
              <w:rPr>
                <w:rFonts w:ascii="Times New Roman" w:hAnsi="Times New Roman"/>
                <w:color w:val="1B365D"/>
                <w:sz w:val="19"/>
              </w:rPr>
              <w:br/>
              <w:t>- Yêu cầu người phụ trách an toàn có bằng trung cấp ngành hóa học trở lên theo Phụ lục III Nghị định 25.</w:t>
            </w:r>
          </w:p>
        </w:tc>
        <w:tc>
          <w:tcPr>
            <w:tcW w:w="3024" w:type="dxa"/>
            <w:shd w:val="clear" w:color="auto" w:fill="FFFFFF"/>
            <w:tcMar>
              <w:top w:w="120" w:type="dxa"/>
              <w:left w:w="120" w:type="dxa"/>
              <w:bottom w:w="120" w:type="dxa"/>
              <w:right w:w="120" w:type="dxa"/>
            </w:tcMar>
          </w:tcPr>
          <w:p w14:paraId="103A30C6" w14:textId="77777777" w:rsidR="006A263B" w:rsidRDefault="00000000">
            <w:pPr>
              <w:spacing w:before="40" w:after="40"/>
            </w:pPr>
            <w:r>
              <w:rPr>
                <w:rFonts w:ascii="Times New Roman" w:hAnsi="Times New Roman"/>
                <w:color w:val="262626"/>
                <w:sz w:val="19"/>
              </w:rPr>
              <w:t>Tạo thuận lợi cho dịch vụ Logistics hóa chất: Chuẩn hóa điều kiện gia nhập thị trường đối với ngành dịch vụ kho vận hóa chất, thúc đẩy hình thành các trung tâm logistics hóa chất chuyên nghiệp.</w:t>
            </w:r>
          </w:p>
        </w:tc>
      </w:tr>
      <w:tr w:rsidR="006A263B" w14:paraId="63B78313" w14:textId="77777777">
        <w:trPr>
          <w:jc w:val="center"/>
        </w:trPr>
        <w:tc>
          <w:tcPr>
            <w:tcW w:w="3168" w:type="dxa"/>
            <w:shd w:val="clear" w:color="auto" w:fill="F9FAFB"/>
            <w:tcMar>
              <w:top w:w="120" w:type="dxa"/>
              <w:left w:w="120" w:type="dxa"/>
              <w:bottom w:w="120" w:type="dxa"/>
              <w:right w:w="120" w:type="dxa"/>
            </w:tcMar>
          </w:tcPr>
          <w:p w14:paraId="47B78F13" w14:textId="77777777" w:rsidR="006A263B" w:rsidRDefault="00000000">
            <w:pPr>
              <w:spacing w:before="40" w:after="40"/>
            </w:pPr>
            <w:r>
              <w:rPr>
                <w:rFonts w:ascii="Times New Roman" w:hAnsi="Times New Roman"/>
                <w:color w:val="262626"/>
                <w:sz w:val="19"/>
              </w:rPr>
              <w:t>Điều 20. Thẩm quyền, hồ sơ cấp Giấy chứng nhận đủ điều kiện dịch vụ tồn trữ hóa chất</w:t>
            </w:r>
            <w:r>
              <w:rPr>
                <w:rFonts w:ascii="Times New Roman" w:hAnsi="Times New Roman"/>
                <w:color w:val="262626"/>
                <w:sz w:val="19"/>
              </w:rPr>
              <w:br/>
              <w:t>- Phân chia thẩm quyền phức tạp: Bộ Công Thương cấp nếu thuộc dự án Kế hoạch phòng ngừa sự cố cấp Bộ; Sở Công Thương cấp các trường hợp còn lại.</w:t>
            </w:r>
            <w:r>
              <w:rPr>
                <w:rFonts w:ascii="Times New Roman" w:hAnsi="Times New Roman"/>
                <w:color w:val="262626"/>
                <w:sz w:val="19"/>
              </w:rPr>
              <w:br/>
              <w:t>- Chưa có cơ chế phối hợp khi trụ sở và kho bãi ở 2 tỉnh khác nhau.</w:t>
            </w:r>
          </w:p>
        </w:tc>
        <w:tc>
          <w:tcPr>
            <w:tcW w:w="3600" w:type="dxa"/>
            <w:shd w:val="clear" w:color="auto" w:fill="F9FAFB"/>
            <w:tcMar>
              <w:top w:w="120" w:type="dxa"/>
              <w:left w:w="120" w:type="dxa"/>
              <w:bottom w:w="120" w:type="dxa"/>
              <w:right w:w="120" w:type="dxa"/>
            </w:tcMar>
          </w:tcPr>
          <w:p w14:paraId="67F893E8" w14:textId="77777777" w:rsidR="006A263B" w:rsidRDefault="00000000">
            <w:pPr>
              <w:spacing w:before="40" w:after="40"/>
            </w:pPr>
            <w:r>
              <w:rPr>
                <w:rFonts w:ascii="Times New Roman" w:hAnsi="Times New Roman"/>
                <w:color w:val="1B365D"/>
                <w:sz w:val="19"/>
              </w:rPr>
              <w:t>Điều 20. Sửa đổi, bổ sung toàn diện Điều 20:</w:t>
            </w:r>
            <w:r>
              <w:rPr>
                <w:rFonts w:ascii="Times New Roman" w:hAnsi="Times New Roman"/>
                <w:color w:val="1B365D"/>
                <w:sz w:val="19"/>
              </w:rPr>
              <w:br/>
              <w:t>- PHÂN CẤP 100% THẨM QUYỀN VỀ UBND CẤP TỈNH (Sở Công Thương).</w:t>
            </w:r>
            <w:r>
              <w:rPr>
                <w:rFonts w:ascii="Times New Roman" w:hAnsi="Times New Roman"/>
                <w:color w:val="1B365D"/>
                <w:sz w:val="19"/>
              </w:rPr>
              <w:br/>
              <w:t>- Thiết lập cơ chế phối hợp liên tỉnh: Sở Công Thương nơi đặt trụ sở chuyển hồ sơ trong 02 ngày -&gt; Sở Công Thương nơi có kho kiểm tra thực tế trong 07 ngày -&gt; Cấp phép trong 03 ngày.</w:t>
            </w:r>
            <w:r>
              <w:rPr>
                <w:rFonts w:ascii="Times New Roman" w:hAnsi="Times New Roman"/>
                <w:color w:val="1B365D"/>
                <w:sz w:val="19"/>
              </w:rPr>
              <w:br/>
              <w:t>- Thời hạn cấp mới: 10 ngày làm việc; Cấp lại: 03 ngày làm việc; Hiệu lực GCN: 05 năm.</w:t>
            </w:r>
          </w:p>
        </w:tc>
        <w:tc>
          <w:tcPr>
            <w:tcW w:w="3024" w:type="dxa"/>
            <w:shd w:val="clear" w:color="auto" w:fill="F9FAFB"/>
            <w:tcMar>
              <w:top w:w="120" w:type="dxa"/>
              <w:left w:w="120" w:type="dxa"/>
              <w:bottom w:w="120" w:type="dxa"/>
              <w:right w:w="120" w:type="dxa"/>
            </w:tcMar>
          </w:tcPr>
          <w:p w14:paraId="464F1A7A" w14:textId="77777777" w:rsidR="006A263B" w:rsidRDefault="00000000">
            <w:pPr>
              <w:spacing w:before="40" w:after="40"/>
            </w:pPr>
            <w:r>
              <w:rPr>
                <w:rFonts w:ascii="Times New Roman" w:hAnsi="Times New Roman"/>
                <w:color w:val="262626"/>
                <w:sz w:val="19"/>
              </w:rPr>
              <w:t>1. Phân cấp triệt để cho địa phương: Đề cao vai trò giám sát của chính quyền sở tại nơi đặt kho bãi hóa chất.</w:t>
            </w:r>
            <w:r>
              <w:rPr>
                <w:rFonts w:ascii="Times New Roman" w:hAnsi="Times New Roman"/>
                <w:color w:val="262626"/>
                <w:sz w:val="19"/>
              </w:rPr>
              <w:br/>
              <w:t>2. Quy trình phối hợp liên tỉnh minh bạch: Giải quyết dứt điểm vướng mắc pháp lý kéo dài của các doanh nghiệp kinh doanh kho bãi logistics liên tỉnh.</w:t>
            </w:r>
          </w:p>
        </w:tc>
      </w:tr>
      <w:tr w:rsidR="006A263B" w14:paraId="7030F309" w14:textId="77777777">
        <w:trPr>
          <w:jc w:val="center"/>
        </w:trPr>
        <w:tc>
          <w:tcPr>
            <w:tcW w:w="3168" w:type="dxa"/>
            <w:shd w:val="clear" w:color="auto" w:fill="FFFFFF"/>
            <w:tcMar>
              <w:top w:w="120" w:type="dxa"/>
              <w:left w:w="120" w:type="dxa"/>
              <w:bottom w:w="120" w:type="dxa"/>
              <w:right w:w="120" w:type="dxa"/>
            </w:tcMar>
          </w:tcPr>
          <w:p w14:paraId="122C580E" w14:textId="77777777" w:rsidR="006A263B" w:rsidRDefault="00000000">
            <w:pPr>
              <w:spacing w:before="40" w:after="40"/>
            </w:pPr>
            <w:r>
              <w:rPr>
                <w:rFonts w:ascii="Times New Roman" w:hAnsi="Times New Roman"/>
                <w:color w:val="262626"/>
                <w:sz w:val="19"/>
              </w:rPr>
              <w:t>Điều 21. Các trường hợp miễn cấp Giấy chứng nhận, Giấy phép</w:t>
            </w:r>
            <w:r>
              <w:rPr>
                <w:rFonts w:ascii="Times New Roman" w:hAnsi="Times New Roman"/>
                <w:color w:val="262626"/>
                <w:sz w:val="19"/>
              </w:rPr>
              <w:br/>
              <w:t>- Quy định miễn trừ dựa trên ngưỡng nồng độ phần trăm cố định (&lt;0.1%, &lt;1%, &lt;5% khối lượng).</w:t>
            </w:r>
            <w:r>
              <w:rPr>
                <w:rFonts w:ascii="Times New Roman" w:hAnsi="Times New Roman"/>
                <w:color w:val="262626"/>
                <w:sz w:val="19"/>
              </w:rPr>
              <w:br/>
              <w:t xml:space="preserve">- Danh mục sản phẩm miễn trừ nằm </w:t>
            </w:r>
            <w:r>
              <w:rPr>
                <w:rFonts w:ascii="Times New Roman" w:hAnsi="Times New Roman"/>
                <w:color w:val="262626"/>
                <w:sz w:val="19"/>
              </w:rPr>
              <w:lastRenderedPageBreak/>
              <w:t>lẫn lộn ở các khoản nhỏ.</w:t>
            </w:r>
          </w:p>
        </w:tc>
        <w:tc>
          <w:tcPr>
            <w:tcW w:w="3600" w:type="dxa"/>
            <w:shd w:val="clear" w:color="auto" w:fill="FFFFFF"/>
            <w:tcMar>
              <w:top w:w="120" w:type="dxa"/>
              <w:left w:w="120" w:type="dxa"/>
              <w:bottom w:w="120" w:type="dxa"/>
              <w:right w:w="120" w:type="dxa"/>
            </w:tcMar>
          </w:tcPr>
          <w:p w14:paraId="4A3AD6FE" w14:textId="77777777" w:rsidR="006A263B" w:rsidRDefault="00000000">
            <w:pPr>
              <w:spacing w:before="40" w:after="40"/>
            </w:pPr>
            <w:r>
              <w:rPr>
                <w:rFonts w:ascii="Times New Roman" w:hAnsi="Times New Roman"/>
                <w:color w:val="1B365D"/>
                <w:sz w:val="19"/>
              </w:rPr>
              <w:lastRenderedPageBreak/>
              <w:t>Điều 21. Sửa đổi, bổ sung Điều 21:</w:t>
            </w:r>
            <w:r>
              <w:rPr>
                <w:rFonts w:ascii="Times New Roman" w:hAnsi="Times New Roman"/>
                <w:color w:val="1B365D"/>
                <w:sz w:val="19"/>
              </w:rPr>
              <w:br/>
              <w:t>- Chuyển từ ngưỡng nồng độ sang dẫn chiếu theo Danh mục thuộc phạm vi điều chỉnh của Nghị định số 24/2026/NĐ-CP.</w:t>
            </w:r>
            <w:r>
              <w:rPr>
                <w:rFonts w:ascii="Times New Roman" w:hAnsi="Times New Roman"/>
                <w:color w:val="1B365D"/>
                <w:sz w:val="19"/>
              </w:rPr>
              <w:br/>
              <w:t xml:space="preserve">- Giữ nguyên miễn trừ hóa chất cấm có hàm lượng &lt;0.1% khối lượng (thống nhất dùng </w:t>
            </w:r>
            <w:r>
              <w:rPr>
                <w:rFonts w:ascii="Times New Roman" w:hAnsi="Times New Roman"/>
                <w:color w:val="1B365D"/>
                <w:sz w:val="19"/>
              </w:rPr>
              <w:lastRenderedPageBreak/>
              <w:t>thuật ngữ 'hàm lượng').</w:t>
            </w:r>
            <w:r>
              <w:rPr>
                <w:rFonts w:ascii="Times New Roman" w:hAnsi="Times New Roman"/>
                <w:color w:val="1B365D"/>
                <w:sz w:val="19"/>
              </w:rPr>
              <w:br/>
              <w:t>- Bổ sung miễn trừ: (1) Bình chữa cháy hoàn chỉnh; (2) Hóa chất kiểm soát đặc biệt dùng trong PTN &lt;= 1mg/lần; (3) Hoạt động XNK tại chỗ và mua bán giữa DN trong khu chế xuất.</w:t>
            </w:r>
            <w:r>
              <w:rPr>
                <w:rFonts w:ascii="Times New Roman" w:hAnsi="Times New Roman"/>
                <w:color w:val="1B365D"/>
                <w:sz w:val="19"/>
              </w:rPr>
              <w:br/>
              <w:t>- Chuyển toàn bộ danh mục sản phẩm loại trừ lên Khoản 17 Điều 1.</w:t>
            </w:r>
          </w:p>
        </w:tc>
        <w:tc>
          <w:tcPr>
            <w:tcW w:w="3024" w:type="dxa"/>
            <w:shd w:val="clear" w:color="auto" w:fill="FFFFFF"/>
            <w:tcMar>
              <w:top w:w="120" w:type="dxa"/>
              <w:left w:w="120" w:type="dxa"/>
              <w:bottom w:w="120" w:type="dxa"/>
              <w:right w:w="120" w:type="dxa"/>
            </w:tcMar>
          </w:tcPr>
          <w:p w14:paraId="4E56BA2B" w14:textId="77777777" w:rsidR="006A263B" w:rsidRDefault="00000000">
            <w:pPr>
              <w:spacing w:before="40" w:after="40"/>
            </w:pPr>
            <w:r>
              <w:rPr>
                <w:rFonts w:ascii="Times New Roman" w:hAnsi="Times New Roman"/>
                <w:color w:val="262626"/>
                <w:sz w:val="19"/>
              </w:rPr>
              <w:lastRenderedPageBreak/>
              <w:t>1. Thực hiện Nghị quyết 19/2026/NQ-CP: Đồng bộ hóa hoàn toàn với danh mục tại Nghị định 24/2026/NĐ-CP.</w:t>
            </w:r>
            <w:r>
              <w:rPr>
                <w:rFonts w:ascii="Times New Roman" w:hAnsi="Times New Roman"/>
                <w:color w:val="262626"/>
                <w:sz w:val="19"/>
              </w:rPr>
              <w:br/>
              <w:t xml:space="preserve">2. Thúc đẩy nghiên cứu khoa học &amp; Logistics: Miễn giấy phép cho </w:t>
            </w:r>
            <w:r>
              <w:rPr>
                <w:rFonts w:ascii="Times New Roman" w:hAnsi="Times New Roman"/>
                <w:color w:val="262626"/>
                <w:sz w:val="19"/>
              </w:rPr>
              <w:lastRenderedPageBreak/>
              <w:t>lượng hóa chất siêu nhỏ (&lt;=1mg) giúp các viện/trường đại học không bị đình trệ nghiên cứu; tạo thuận lợi cho khu chế xuất.</w:t>
            </w:r>
          </w:p>
        </w:tc>
      </w:tr>
      <w:tr w:rsidR="006A263B" w14:paraId="2C92B416" w14:textId="77777777">
        <w:trPr>
          <w:jc w:val="center"/>
        </w:trPr>
        <w:tc>
          <w:tcPr>
            <w:tcW w:w="3168" w:type="dxa"/>
            <w:shd w:val="clear" w:color="auto" w:fill="F9FAFB"/>
            <w:tcMar>
              <w:top w:w="120" w:type="dxa"/>
              <w:left w:w="120" w:type="dxa"/>
              <w:bottom w:w="120" w:type="dxa"/>
              <w:right w:w="120" w:type="dxa"/>
            </w:tcMar>
          </w:tcPr>
          <w:p w14:paraId="20E8A44C" w14:textId="77777777" w:rsidR="006A263B" w:rsidRDefault="00000000">
            <w:pPr>
              <w:spacing w:before="40" w:after="40"/>
            </w:pPr>
            <w:r>
              <w:rPr>
                <w:rFonts w:ascii="Times New Roman" w:hAnsi="Times New Roman"/>
                <w:color w:val="262626"/>
                <w:sz w:val="19"/>
              </w:rPr>
              <w:lastRenderedPageBreak/>
              <w:t>Điều 22. Thu hồi Giấy chứng nhận, Giấy phép</w:t>
            </w:r>
            <w:r>
              <w:rPr>
                <w:rFonts w:ascii="Times New Roman" w:hAnsi="Times New Roman"/>
                <w:color w:val="262626"/>
                <w:sz w:val="19"/>
              </w:rPr>
              <w:br/>
              <w:t>Chưa quy định rõ thời điểm doanh nghiệp phải chấm dứt hoạt động (quy định cũ chỉ nêu thời hạn 05 - 10 ngày nộp lại bản gốc giấy tờ).</w:t>
            </w:r>
          </w:p>
        </w:tc>
        <w:tc>
          <w:tcPr>
            <w:tcW w:w="3600" w:type="dxa"/>
            <w:shd w:val="clear" w:color="auto" w:fill="F9FAFB"/>
            <w:tcMar>
              <w:top w:w="120" w:type="dxa"/>
              <w:left w:w="120" w:type="dxa"/>
              <w:bottom w:w="120" w:type="dxa"/>
              <w:right w:w="120" w:type="dxa"/>
            </w:tcMar>
          </w:tcPr>
          <w:p w14:paraId="17F3AD30" w14:textId="77777777" w:rsidR="006A263B" w:rsidRDefault="00000000">
            <w:pPr>
              <w:spacing w:before="40" w:after="40"/>
            </w:pPr>
            <w:r>
              <w:rPr>
                <w:rFonts w:ascii="Times New Roman" w:hAnsi="Times New Roman"/>
                <w:color w:val="1B365D"/>
                <w:sz w:val="19"/>
              </w:rPr>
              <w:t>Điều 22. Bổ sung Khoản 5 Điều 22:</w:t>
            </w:r>
            <w:r>
              <w:rPr>
                <w:rFonts w:ascii="Times New Roman" w:hAnsi="Times New Roman"/>
                <w:color w:val="1B365D"/>
                <w:sz w:val="19"/>
              </w:rPr>
              <w:br/>
              <w:t>“5. Tổ chức, cá nhân CHẤM DỨT HOẠT ĐỘNG sản xuất, kinh doanh hóa chất KỂ TỪ NGÀY NHẬN ĐƯỢC QUYẾT ĐỊNH THU HỒI Giấy chứng nhận, Giấy phép.”</w:t>
            </w:r>
          </w:p>
        </w:tc>
        <w:tc>
          <w:tcPr>
            <w:tcW w:w="3024" w:type="dxa"/>
            <w:shd w:val="clear" w:color="auto" w:fill="F9FAFB"/>
            <w:tcMar>
              <w:top w:w="120" w:type="dxa"/>
              <w:left w:w="120" w:type="dxa"/>
              <w:bottom w:w="120" w:type="dxa"/>
              <w:right w:w="120" w:type="dxa"/>
            </w:tcMar>
          </w:tcPr>
          <w:p w14:paraId="7A47B90A" w14:textId="77777777" w:rsidR="006A263B" w:rsidRDefault="00000000">
            <w:pPr>
              <w:spacing w:before="40" w:after="40"/>
            </w:pPr>
            <w:r>
              <w:rPr>
                <w:rFonts w:ascii="Times New Roman" w:hAnsi="Times New Roman"/>
                <w:color w:val="262626"/>
                <w:sz w:val="19"/>
              </w:rPr>
              <w:t>Bịt kín khoảng trống pháp lý: Ngăn chặn triệt để tình trạng doanh nghiệp lợi dụng khoảng thời gian 'chờ nộp lại bản gốc' để tiếp tục sản xuất, tẩu tán hóa chất trái phép; tạo căn cứ xử phạt nghiêm minh cho Công an và Quản lý thị trường.</w:t>
            </w:r>
          </w:p>
        </w:tc>
      </w:tr>
      <w:tr w:rsidR="006A263B" w14:paraId="619FF1FF" w14:textId="77777777">
        <w:trPr>
          <w:jc w:val="center"/>
        </w:trPr>
        <w:tc>
          <w:tcPr>
            <w:tcW w:w="3168" w:type="dxa"/>
            <w:shd w:val="clear" w:color="auto" w:fill="FFFFFF"/>
            <w:tcMar>
              <w:top w:w="120" w:type="dxa"/>
              <w:left w:w="120" w:type="dxa"/>
              <w:bottom w:w="120" w:type="dxa"/>
              <w:right w:w="120" w:type="dxa"/>
            </w:tcMar>
          </w:tcPr>
          <w:p w14:paraId="131388C9" w14:textId="77777777" w:rsidR="006A263B" w:rsidRDefault="00000000">
            <w:pPr>
              <w:spacing w:before="40" w:after="40"/>
            </w:pPr>
            <w:r>
              <w:rPr>
                <w:rFonts w:ascii="Times New Roman" w:hAnsi="Times New Roman"/>
                <w:color w:val="262626"/>
                <w:sz w:val="19"/>
              </w:rPr>
              <w:t>Điều 23. Trình tự, thủ tục đăng ký hóa chất mới</w:t>
            </w:r>
            <w:r>
              <w:rPr>
                <w:rFonts w:ascii="Times New Roman" w:hAnsi="Times New Roman"/>
                <w:color w:val="262626"/>
                <w:sz w:val="19"/>
              </w:rPr>
              <w:br/>
              <w:t>- Thời hạn thẩm định, xác nhận hồ sơ: 90 ngày làm việc.</w:t>
            </w:r>
            <w:r>
              <w:rPr>
                <w:rFonts w:ascii="Times New Roman" w:hAnsi="Times New Roman"/>
                <w:color w:val="262626"/>
                <w:sz w:val="19"/>
              </w:rPr>
              <w:br/>
              <w:t>- Thời hạn Bộ Công Thương xác nhận sau khi DN hoàn thiện hồ sơ: 07 ngày làm việc.</w:t>
            </w:r>
          </w:p>
        </w:tc>
        <w:tc>
          <w:tcPr>
            <w:tcW w:w="3600" w:type="dxa"/>
            <w:shd w:val="clear" w:color="auto" w:fill="FFFFFF"/>
            <w:tcMar>
              <w:top w:w="120" w:type="dxa"/>
              <w:left w:w="120" w:type="dxa"/>
              <w:bottom w:w="120" w:type="dxa"/>
              <w:right w:w="120" w:type="dxa"/>
            </w:tcMar>
          </w:tcPr>
          <w:p w14:paraId="6F7343DC" w14:textId="77777777" w:rsidR="006A263B" w:rsidRDefault="00000000">
            <w:pPr>
              <w:spacing w:before="40" w:after="40"/>
            </w:pPr>
            <w:r>
              <w:rPr>
                <w:rFonts w:ascii="Times New Roman" w:hAnsi="Times New Roman"/>
                <w:color w:val="1B365D"/>
                <w:sz w:val="19"/>
              </w:rPr>
              <w:t>Điều 23. Sửa đổi Điểm a và Điểm g Khoản 4 Điều 23:</w:t>
            </w:r>
            <w:r>
              <w:rPr>
                <w:rFonts w:ascii="Times New Roman" w:hAnsi="Times New Roman"/>
                <w:color w:val="1B365D"/>
                <w:sz w:val="19"/>
              </w:rPr>
              <w:br/>
              <w:t>- Rút ngắn thời hạn thẩm định, xác nhận từ 90 ngày xuống còn 50 NGÀY LÀM VIỆC.</w:t>
            </w:r>
            <w:r>
              <w:rPr>
                <w:rFonts w:ascii="Times New Roman" w:hAnsi="Times New Roman"/>
                <w:color w:val="1B365D"/>
                <w:sz w:val="19"/>
              </w:rPr>
              <w:br/>
              <w:t>- Rút ngắn thời hạn xác nhận sau khi hoàn thiện hồ sơ từ 07 ngày xuống còn 03 NGÀY LÀM VIỆC.</w:t>
            </w:r>
          </w:p>
        </w:tc>
        <w:tc>
          <w:tcPr>
            <w:tcW w:w="3024" w:type="dxa"/>
            <w:shd w:val="clear" w:color="auto" w:fill="FFFFFF"/>
            <w:tcMar>
              <w:top w:w="120" w:type="dxa"/>
              <w:left w:w="120" w:type="dxa"/>
              <w:bottom w:w="120" w:type="dxa"/>
              <w:right w:w="120" w:type="dxa"/>
            </w:tcMar>
          </w:tcPr>
          <w:p w14:paraId="33FF3BA5" w14:textId="77777777" w:rsidR="006A263B" w:rsidRDefault="00000000">
            <w:pPr>
              <w:spacing w:before="40" w:after="40"/>
            </w:pPr>
            <w:r>
              <w:rPr>
                <w:rFonts w:ascii="Times New Roman" w:hAnsi="Times New Roman"/>
                <w:color w:val="262626"/>
                <w:sz w:val="19"/>
              </w:rPr>
              <w:t>Đột phá về cải cách thủ tục: Cắt giảm tới 40 ngày làm việc (giảm 44.4% thời gian), tạo bước ngoặt lớn thúc đẩy đổi mới sáng tạo, giúp doanh nghiệp nhanh chóng đưa các hợp chất mới vào ứng dụng công nghệ cao.</w:t>
            </w:r>
          </w:p>
        </w:tc>
      </w:tr>
      <w:tr w:rsidR="006A263B" w14:paraId="65589952" w14:textId="77777777">
        <w:trPr>
          <w:jc w:val="center"/>
        </w:trPr>
        <w:tc>
          <w:tcPr>
            <w:tcW w:w="3168" w:type="dxa"/>
            <w:shd w:val="clear" w:color="auto" w:fill="F9FAFB"/>
            <w:tcMar>
              <w:top w:w="120" w:type="dxa"/>
              <w:left w:w="120" w:type="dxa"/>
              <w:bottom w:w="120" w:type="dxa"/>
              <w:right w:w="120" w:type="dxa"/>
            </w:tcMar>
          </w:tcPr>
          <w:p w14:paraId="5013A14C" w14:textId="77777777" w:rsidR="006A263B" w:rsidRDefault="00000000">
            <w:pPr>
              <w:spacing w:before="40" w:after="40"/>
            </w:pPr>
            <w:r>
              <w:rPr>
                <w:rFonts w:ascii="Times New Roman" w:hAnsi="Times New Roman"/>
                <w:color w:val="262626"/>
                <w:sz w:val="19"/>
              </w:rPr>
              <w:t>Điều 27. Chuyển đổi số trong quản lý nhà nước về hóa chất</w:t>
            </w:r>
            <w:r>
              <w:rPr>
                <w:rFonts w:ascii="Times New Roman" w:hAnsi="Times New Roman"/>
                <w:color w:val="262626"/>
                <w:sz w:val="19"/>
              </w:rPr>
              <w:br/>
              <w:t>Chưa quy định chi tiết trách nhiệm kết nối dữ liệu hải quan thời gian thực và thời hạn cập nhật của địa phương.</w:t>
            </w:r>
          </w:p>
        </w:tc>
        <w:tc>
          <w:tcPr>
            <w:tcW w:w="3600" w:type="dxa"/>
            <w:shd w:val="clear" w:color="auto" w:fill="F9FAFB"/>
            <w:tcMar>
              <w:top w:w="120" w:type="dxa"/>
              <w:left w:w="120" w:type="dxa"/>
              <w:bottom w:w="120" w:type="dxa"/>
              <w:right w:w="120" w:type="dxa"/>
            </w:tcMar>
          </w:tcPr>
          <w:p w14:paraId="1C1FBC66" w14:textId="77777777" w:rsidR="006A263B" w:rsidRDefault="00000000">
            <w:pPr>
              <w:spacing w:before="40" w:after="40"/>
            </w:pPr>
            <w:r>
              <w:rPr>
                <w:rFonts w:ascii="Times New Roman" w:hAnsi="Times New Roman"/>
                <w:color w:val="1B365D"/>
                <w:sz w:val="19"/>
              </w:rPr>
              <w:t>Điều 24. Sửa đổi, bổ sung Điều 27:</w:t>
            </w:r>
            <w:r>
              <w:rPr>
                <w:rFonts w:ascii="Times New Roman" w:hAnsi="Times New Roman"/>
                <w:color w:val="1B365D"/>
                <w:sz w:val="19"/>
              </w:rPr>
              <w:br/>
              <w:t>- Bộ Tài chính (Hải quan) có trách nhiệm chia sẻ, đồng bộ dữ liệu XNK hóa chất với CSDL chuyên ngành theo THỜI GIAN THỰC.</w:t>
            </w:r>
            <w:r>
              <w:rPr>
                <w:rFonts w:ascii="Times New Roman" w:hAnsi="Times New Roman"/>
                <w:color w:val="1B365D"/>
                <w:sz w:val="19"/>
              </w:rPr>
              <w:br/>
              <w:t>- UBND cấp tỉnh cập nhật dữ liệu quản lý, cấp phép định kỳ trước ngày 05 HÀNG THÁNG.</w:t>
            </w:r>
            <w:r>
              <w:rPr>
                <w:rFonts w:ascii="Times New Roman" w:hAnsi="Times New Roman"/>
                <w:color w:val="1B365D"/>
                <w:sz w:val="19"/>
              </w:rPr>
              <w:br/>
              <w:t>- Cơ quan nhà nước khai thác dữ liệu điện tử để thay thế hồ sơ giấy khi giải quyết TTHC.</w:t>
            </w:r>
            <w:r>
              <w:rPr>
                <w:rFonts w:ascii="Times New Roman" w:hAnsi="Times New Roman"/>
                <w:color w:val="1B365D"/>
                <w:sz w:val="19"/>
              </w:rPr>
              <w:br/>
              <w:t>- Doanh nghiệp báo cáo tình hình hoạt động trước ngày 15/01 hàng năm.</w:t>
            </w:r>
          </w:p>
        </w:tc>
        <w:tc>
          <w:tcPr>
            <w:tcW w:w="3024" w:type="dxa"/>
            <w:shd w:val="clear" w:color="auto" w:fill="F9FAFB"/>
            <w:tcMar>
              <w:top w:w="120" w:type="dxa"/>
              <w:left w:w="120" w:type="dxa"/>
              <w:bottom w:w="120" w:type="dxa"/>
              <w:right w:w="120" w:type="dxa"/>
            </w:tcMar>
          </w:tcPr>
          <w:p w14:paraId="088B5C17" w14:textId="77777777" w:rsidR="006A263B" w:rsidRDefault="00000000">
            <w:pPr>
              <w:spacing w:before="40" w:after="40"/>
            </w:pPr>
            <w:r>
              <w:rPr>
                <w:rFonts w:ascii="Times New Roman" w:hAnsi="Times New Roman"/>
                <w:color w:val="262626"/>
                <w:sz w:val="19"/>
              </w:rPr>
              <w:t>1. Chuyển đổi số thực chất: Xây dựng dòng dữ liệu hải quan thời gian thực phục vụ giám sát toàn diện chuỗi cung ứng.</w:t>
            </w:r>
            <w:r>
              <w:rPr>
                <w:rFonts w:ascii="Times New Roman" w:hAnsi="Times New Roman"/>
                <w:color w:val="262626"/>
                <w:sz w:val="19"/>
              </w:rPr>
              <w:br/>
              <w:t>2. Giảm gánh nặng báo cáo cho DN: Ứng dụng nguyên tắc 'dữ liệu chỉ nộp một lần', cơ quan cấp phép tự tra cứu thông tin trên hệ thống.</w:t>
            </w:r>
          </w:p>
        </w:tc>
      </w:tr>
      <w:tr w:rsidR="006A263B" w14:paraId="3444317E" w14:textId="77777777">
        <w:trPr>
          <w:jc w:val="center"/>
        </w:trPr>
        <w:tc>
          <w:tcPr>
            <w:tcW w:w="3168" w:type="dxa"/>
            <w:shd w:val="clear" w:color="auto" w:fill="FFFFFF"/>
            <w:tcMar>
              <w:top w:w="120" w:type="dxa"/>
              <w:left w:w="120" w:type="dxa"/>
              <w:bottom w:w="120" w:type="dxa"/>
              <w:right w:w="120" w:type="dxa"/>
            </w:tcMar>
          </w:tcPr>
          <w:p w14:paraId="12FEDD1F" w14:textId="77777777" w:rsidR="006A263B" w:rsidRDefault="00000000">
            <w:pPr>
              <w:spacing w:before="40" w:after="40"/>
            </w:pPr>
            <w:r>
              <w:rPr>
                <w:rFonts w:ascii="Times New Roman" w:hAnsi="Times New Roman"/>
                <w:color w:val="262626"/>
                <w:sz w:val="19"/>
              </w:rPr>
              <w:t>Điều 29. Công bố thông tin về hàm lượng hóa chất nguy hiểm trong sản phẩm, hàng hóa</w:t>
            </w:r>
            <w:r>
              <w:rPr>
                <w:rFonts w:ascii="Times New Roman" w:hAnsi="Times New Roman"/>
                <w:color w:val="262626"/>
                <w:sz w:val="19"/>
              </w:rPr>
              <w:br/>
              <w:t>Doanh nghiệp khai báo: Tên sản phẩm, tên hóa chất, đặc tính nguy hiểm, hàm lượng, lĩnh vực sử dụng.</w:t>
            </w:r>
          </w:p>
        </w:tc>
        <w:tc>
          <w:tcPr>
            <w:tcW w:w="3600" w:type="dxa"/>
            <w:shd w:val="clear" w:color="auto" w:fill="FFFFFF"/>
            <w:tcMar>
              <w:top w:w="120" w:type="dxa"/>
              <w:left w:w="120" w:type="dxa"/>
              <w:bottom w:w="120" w:type="dxa"/>
              <w:right w:w="120" w:type="dxa"/>
            </w:tcMar>
          </w:tcPr>
          <w:p w14:paraId="5675AB2D" w14:textId="77777777" w:rsidR="006A263B" w:rsidRDefault="00000000">
            <w:pPr>
              <w:spacing w:before="40" w:after="40"/>
            </w:pPr>
            <w:r>
              <w:rPr>
                <w:rFonts w:ascii="Times New Roman" w:hAnsi="Times New Roman"/>
                <w:color w:val="1B365D"/>
                <w:sz w:val="19"/>
              </w:rPr>
              <w:t>Điều 25. Sửa đổi, bổ sung Khoản 1 Điều 29:</w:t>
            </w:r>
            <w:r>
              <w:rPr>
                <w:rFonts w:ascii="Times New Roman" w:hAnsi="Times New Roman"/>
                <w:color w:val="1B365D"/>
                <w:sz w:val="19"/>
              </w:rPr>
              <w:br/>
              <w:t>Sửa cụm từ 'Khai báo' thành 'CÔNG BỐ' và bổ sung thêm tiêu chí:</w:t>
            </w:r>
            <w:r>
              <w:rPr>
                <w:rFonts w:ascii="Times New Roman" w:hAnsi="Times New Roman"/>
                <w:color w:val="1B365D"/>
                <w:sz w:val="19"/>
              </w:rPr>
              <w:br/>
              <w:t>“e) KHỐI LƯỢNG SẢN XUẤT VÀ NHẬP KHẨU sản phẩm, hàng hóa hằng năm.”</w:t>
            </w:r>
          </w:p>
        </w:tc>
        <w:tc>
          <w:tcPr>
            <w:tcW w:w="3024" w:type="dxa"/>
            <w:shd w:val="clear" w:color="auto" w:fill="FFFFFF"/>
            <w:tcMar>
              <w:top w:w="120" w:type="dxa"/>
              <w:left w:w="120" w:type="dxa"/>
              <w:bottom w:w="120" w:type="dxa"/>
              <w:right w:w="120" w:type="dxa"/>
            </w:tcMar>
          </w:tcPr>
          <w:p w14:paraId="7B34D109" w14:textId="77777777" w:rsidR="006A263B" w:rsidRDefault="00000000">
            <w:pPr>
              <w:spacing w:before="40" w:after="40"/>
            </w:pPr>
            <w:r>
              <w:rPr>
                <w:rFonts w:ascii="Times New Roman" w:hAnsi="Times New Roman"/>
                <w:color w:val="262626"/>
                <w:sz w:val="19"/>
              </w:rPr>
              <w:t>1. Chuẩn hóa thuật ngữ: 'Công bố' nhấn mạnh tính công khai và trách nhiệm pháp lý của doanh nghiệp trước người tiêu dùng.</w:t>
            </w:r>
            <w:r>
              <w:rPr>
                <w:rFonts w:ascii="Times New Roman" w:hAnsi="Times New Roman"/>
                <w:color w:val="262626"/>
                <w:sz w:val="19"/>
              </w:rPr>
              <w:br/>
              <w:t>2. Đánh giá rủi ro quốc gia: Khối lượng sản phẩm lưu thông là chỉ số bắt buộc để đánh giá tải lượng phơi nhiễm và rủi ro môi trường quốc gia.</w:t>
            </w:r>
          </w:p>
        </w:tc>
      </w:tr>
      <w:tr w:rsidR="006A263B" w14:paraId="6B6D475D" w14:textId="77777777">
        <w:trPr>
          <w:jc w:val="center"/>
        </w:trPr>
        <w:tc>
          <w:tcPr>
            <w:tcW w:w="3168" w:type="dxa"/>
            <w:shd w:val="clear" w:color="auto" w:fill="F9FAFB"/>
            <w:tcMar>
              <w:top w:w="120" w:type="dxa"/>
              <w:left w:w="120" w:type="dxa"/>
              <w:bottom w:w="120" w:type="dxa"/>
              <w:right w:w="120" w:type="dxa"/>
            </w:tcMar>
          </w:tcPr>
          <w:p w14:paraId="372B85EA" w14:textId="77777777" w:rsidR="006A263B" w:rsidRDefault="00000000">
            <w:pPr>
              <w:spacing w:before="40" w:after="40"/>
            </w:pPr>
            <w:r>
              <w:rPr>
                <w:rFonts w:ascii="Times New Roman" w:hAnsi="Times New Roman"/>
                <w:color w:val="262626"/>
                <w:sz w:val="19"/>
              </w:rPr>
              <w:t>Điều 30. Điều khoản chuyển tiếp</w:t>
            </w:r>
            <w:r>
              <w:rPr>
                <w:rFonts w:ascii="Times New Roman" w:hAnsi="Times New Roman"/>
                <w:color w:val="262626"/>
                <w:sz w:val="19"/>
              </w:rPr>
              <w:br/>
              <w:t xml:space="preserve">Chưa quy định rõ việc xử lý giấy phép cũ khi được cấp giấy phép mới </w:t>
            </w:r>
            <w:r>
              <w:rPr>
                <w:rFonts w:ascii="Times New Roman" w:hAnsi="Times New Roman"/>
                <w:color w:val="262626"/>
                <w:sz w:val="19"/>
              </w:rPr>
              <w:lastRenderedPageBreak/>
              <w:t>và cơ chế thu hồi Giấy phép hóa chất hạn chế cũ vi phạm.</w:t>
            </w:r>
          </w:p>
        </w:tc>
        <w:tc>
          <w:tcPr>
            <w:tcW w:w="3600" w:type="dxa"/>
            <w:shd w:val="clear" w:color="auto" w:fill="F9FAFB"/>
            <w:tcMar>
              <w:top w:w="120" w:type="dxa"/>
              <w:left w:w="120" w:type="dxa"/>
              <w:bottom w:w="120" w:type="dxa"/>
              <w:right w:w="120" w:type="dxa"/>
            </w:tcMar>
          </w:tcPr>
          <w:p w14:paraId="1BBD455E" w14:textId="77777777" w:rsidR="006A263B" w:rsidRDefault="00000000">
            <w:pPr>
              <w:spacing w:before="40" w:after="40"/>
            </w:pPr>
            <w:r>
              <w:rPr>
                <w:rFonts w:ascii="Times New Roman" w:hAnsi="Times New Roman"/>
                <w:color w:val="1B365D"/>
                <w:sz w:val="19"/>
              </w:rPr>
              <w:lastRenderedPageBreak/>
              <w:t>Điều 26. Sửa đổi, bổ sung Điều 30:</w:t>
            </w:r>
            <w:r>
              <w:rPr>
                <w:rFonts w:ascii="Times New Roman" w:hAnsi="Times New Roman"/>
                <w:color w:val="1B365D"/>
                <w:sz w:val="19"/>
              </w:rPr>
              <w:br/>
              <w:t xml:space="preserve">- Giấy phép, Giấy chứng nhận đã cấp tiếp tục có hiệu lực đến hết thời hạn ghi trên </w:t>
            </w:r>
            <w:r>
              <w:rPr>
                <w:rFonts w:ascii="Times New Roman" w:hAnsi="Times New Roman"/>
                <w:color w:val="1B365D"/>
                <w:sz w:val="19"/>
              </w:rPr>
              <w:lastRenderedPageBreak/>
              <w:t>giấy phép.</w:t>
            </w:r>
            <w:r>
              <w:rPr>
                <w:rFonts w:ascii="Times New Roman" w:hAnsi="Times New Roman"/>
                <w:color w:val="1B365D"/>
                <w:sz w:val="19"/>
              </w:rPr>
              <w:br/>
              <w:t>- Khi được cấp Giấy phép mới theo Nghị định này, Giấy phép hóa chất Bảng, tiền chất, hóa chất hạn chế cũ TỰ ĐỘNG HẾT HIỆU LỰC; Doanh nghiệp nộp lại bản gốc trong vòng 10 ngày làm việc.</w:t>
            </w:r>
            <w:r>
              <w:rPr>
                <w:rFonts w:ascii="Times New Roman" w:hAnsi="Times New Roman"/>
                <w:color w:val="1B365D"/>
                <w:sz w:val="19"/>
              </w:rPr>
              <w:br/>
              <w:t>- Bổ sung Khoản 9: Giấy phép hóa chất hạn chế đã cấp trước đây bị thu hồi nếu vi phạm điều kiện an toàn theo Điều 19 Luật Hóa chất.</w:t>
            </w:r>
          </w:p>
        </w:tc>
        <w:tc>
          <w:tcPr>
            <w:tcW w:w="3024" w:type="dxa"/>
            <w:shd w:val="clear" w:color="auto" w:fill="F9FAFB"/>
            <w:tcMar>
              <w:top w:w="120" w:type="dxa"/>
              <w:left w:w="120" w:type="dxa"/>
              <w:bottom w:w="120" w:type="dxa"/>
              <w:right w:w="120" w:type="dxa"/>
            </w:tcMar>
          </w:tcPr>
          <w:p w14:paraId="471AD514" w14:textId="77777777" w:rsidR="006A263B" w:rsidRDefault="00000000">
            <w:pPr>
              <w:spacing w:before="40" w:after="40"/>
            </w:pPr>
            <w:r>
              <w:rPr>
                <w:rFonts w:ascii="Times New Roman" w:hAnsi="Times New Roman"/>
                <w:color w:val="262626"/>
                <w:sz w:val="19"/>
              </w:rPr>
              <w:lastRenderedPageBreak/>
              <w:t xml:space="preserve">1. Quản lý tập trung, tránh chồng chéo: Chấm dứt tình trạng một cơ sở tồn tại song song 2 loại giấy phép </w:t>
            </w:r>
            <w:r>
              <w:rPr>
                <w:rFonts w:ascii="Times New Roman" w:hAnsi="Times New Roman"/>
                <w:color w:val="262626"/>
                <w:sz w:val="19"/>
              </w:rPr>
              <w:lastRenderedPageBreak/>
              <w:t>quản lý cùng một hóa chất.</w:t>
            </w:r>
            <w:r>
              <w:rPr>
                <w:rFonts w:ascii="Times New Roman" w:hAnsi="Times New Roman"/>
                <w:color w:val="262626"/>
                <w:sz w:val="19"/>
              </w:rPr>
              <w:br/>
              <w:t>2. Tăng cường hậu kiểm: Tạo căn cứ pháp lý thu hồi giấy phép của các cơ sở không còn duy trì đủ điều kiện an toàn.</w:t>
            </w:r>
          </w:p>
        </w:tc>
      </w:tr>
    </w:tbl>
    <w:p w14:paraId="5A57B897" w14:textId="77777777" w:rsidR="006A263B" w:rsidRDefault="006A263B"/>
    <w:p w14:paraId="725151CB" w14:textId="77777777" w:rsidR="006A263B" w:rsidRDefault="00000000">
      <w:pPr>
        <w:keepNext/>
        <w:spacing w:before="320" w:after="120"/>
      </w:pPr>
      <w:r>
        <w:rPr>
          <w:rFonts w:ascii="Times New Roman" w:hAnsi="Times New Roman"/>
          <w:b/>
          <w:color w:val="1B365D"/>
          <w:sz w:val="28"/>
        </w:rPr>
        <w:t>KẾT LUẬN VÀ KIẾN NGHỊ</w:t>
      </w:r>
    </w:p>
    <w:p w14:paraId="34BBC9E4" w14:textId="77777777" w:rsidR="006A263B" w:rsidRDefault="00000000">
      <w:pPr>
        <w:spacing w:after="100"/>
        <w:jc w:val="both"/>
      </w:pPr>
      <w:r>
        <w:rPr>
          <w:rFonts w:ascii="Times New Roman" w:hAnsi="Times New Roman"/>
          <w:color w:val="262626"/>
        </w:rPr>
        <w:t>Dự thảo Nghị định sửa đổi, bổ sung một số điều của Nghị định số 26/2026/NĐ-CP thể hiện tinh thần kiến tạo, phục vụ và đồng hành cùng doanh nghiệp của Chính phủ và Bộ Công Thương. Bản sửa đổi đã giải quyết căn cơ các bài toán về chồng chéo quản lý, tinh giản thủ tục thực chất và chuẩn hóa các quy chuẩn kỹ thuật theo thông lệ quốc tế.</w:t>
      </w:r>
    </w:p>
    <w:p w14:paraId="233CEE18" w14:textId="77777777" w:rsidR="006A263B" w:rsidRDefault="00000000">
      <w:pPr>
        <w:spacing w:after="100"/>
        <w:jc w:val="both"/>
      </w:pPr>
      <w:r>
        <w:rPr>
          <w:rFonts w:ascii="Times New Roman" w:hAnsi="Times New Roman"/>
          <w:color w:val="262626"/>
        </w:rPr>
        <w:t>Việc sớm ban hành và triển khai Nghị định này sẽ tạo ra cú hích lớn cho ngành công nghiệp hóa chất Việt Nam, thu hút mạnh mẽ các dòng vốn đầu tư FDI chất lượng cao, đồng thời nâng cao hiệu quả quản trị rủi ro an toàn hóa chất quốc gia trong kỷ nguyên số.</w:t>
      </w:r>
    </w:p>
    <w:sectPr w:rsidR="006A263B" w:rsidSect="00034616">
      <w:headerReference w:type="default" r:id="rId8"/>
      <w:footerReference w:type="default" r:id="rId9"/>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5F5C2" w14:textId="77777777" w:rsidR="00EC1B9E" w:rsidRDefault="00EC1B9E">
      <w:pPr>
        <w:spacing w:after="0" w:line="240" w:lineRule="auto"/>
      </w:pPr>
      <w:r>
        <w:separator/>
      </w:r>
    </w:p>
  </w:endnote>
  <w:endnote w:type="continuationSeparator" w:id="0">
    <w:p w14:paraId="6B5B9E30" w14:textId="77777777" w:rsidR="00EC1B9E" w:rsidRDefault="00EC1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83A7" w14:textId="77777777" w:rsidR="006A263B" w:rsidRDefault="00000000">
    <w:pPr>
      <w:pStyle w:val="Footer"/>
      <w:jc w:val="center"/>
    </w:pPr>
    <w:r>
      <w:rPr>
        <w:rFonts w:ascii="Times New Roman" w:hAnsi="Times New Roman"/>
        <w:color w:val="7F8C8D"/>
        <w:sz w:val="17"/>
      </w:rPr>
      <w:t xml:space="preserve">Trang </w:t>
    </w:r>
    <w:proofErr w:type="spellStart"/>
    <w:r>
      <w:rPr>
        <w:rFonts w:ascii="Times New Roman" w:hAnsi="Times New Roman"/>
        <w:color w:val="7F8C8D"/>
        <w:sz w:val="17"/>
      </w:rPr>
      <w:t>bị</w:t>
    </w:r>
    <w:proofErr w:type="spellEnd"/>
    <w:r>
      <w:rPr>
        <w:rFonts w:ascii="Times New Roman" w:hAnsi="Times New Roman"/>
        <w:color w:val="7F8C8D"/>
        <w:sz w:val="17"/>
      </w:rPr>
      <w:t xml:space="preserve"> </w:t>
    </w:r>
    <w:proofErr w:type="spellStart"/>
    <w:r>
      <w:rPr>
        <w:rFonts w:ascii="Times New Roman" w:hAnsi="Times New Roman"/>
        <w:color w:val="7F8C8D"/>
        <w:sz w:val="17"/>
      </w:rPr>
      <w:t>rà</w:t>
    </w:r>
    <w:proofErr w:type="spellEnd"/>
    <w:r>
      <w:rPr>
        <w:rFonts w:ascii="Times New Roman" w:hAnsi="Times New Roman"/>
        <w:color w:val="7F8C8D"/>
        <w:sz w:val="17"/>
      </w:rPr>
      <w:t xml:space="preserve"> </w:t>
    </w:r>
    <w:proofErr w:type="spellStart"/>
    <w:r>
      <w:rPr>
        <w:rFonts w:ascii="Times New Roman" w:hAnsi="Times New Roman"/>
        <w:color w:val="7F8C8D"/>
        <w:sz w:val="17"/>
      </w:rPr>
      <w:t>soát</w:t>
    </w:r>
    <w:proofErr w:type="spellEnd"/>
    <w:r>
      <w:rPr>
        <w:rFonts w:ascii="Times New Roman" w:hAnsi="Times New Roman"/>
        <w:color w:val="7F8C8D"/>
        <w:sz w:val="17"/>
      </w:rPr>
      <w:t xml:space="preserve"> </w:t>
    </w:r>
    <w:proofErr w:type="spellStart"/>
    <w:r>
      <w:rPr>
        <w:rFonts w:ascii="Times New Roman" w:hAnsi="Times New Roman"/>
        <w:color w:val="7F8C8D"/>
        <w:sz w:val="17"/>
      </w:rPr>
      <w:t>chính</w:t>
    </w:r>
    <w:proofErr w:type="spellEnd"/>
    <w:r>
      <w:rPr>
        <w:rFonts w:ascii="Times New Roman" w:hAnsi="Times New Roman"/>
        <w:color w:val="7F8C8D"/>
        <w:sz w:val="17"/>
      </w:rPr>
      <w:t xml:space="preserve"> </w:t>
    </w:r>
    <w:proofErr w:type="spellStart"/>
    <w:r>
      <w:rPr>
        <w:rFonts w:ascii="Times New Roman" w:hAnsi="Times New Roman"/>
        <w:color w:val="7F8C8D"/>
        <w:sz w:val="17"/>
      </w:rPr>
      <w:t>sách</w:t>
    </w:r>
    <w:proofErr w:type="spellEnd"/>
    <w:r>
      <w:rPr>
        <w:rFonts w:ascii="Times New Roman" w:hAnsi="Times New Roman"/>
        <w:color w:val="7F8C8D"/>
        <w:sz w:val="17"/>
      </w:rPr>
      <w:t xml:space="preserve"> &amp; </w:t>
    </w:r>
    <w:proofErr w:type="spellStart"/>
    <w:r>
      <w:rPr>
        <w:rFonts w:ascii="Times New Roman" w:hAnsi="Times New Roman"/>
        <w:color w:val="7F8C8D"/>
        <w:sz w:val="17"/>
      </w:rPr>
      <w:t>đối</w:t>
    </w:r>
    <w:proofErr w:type="spellEnd"/>
    <w:r>
      <w:rPr>
        <w:rFonts w:ascii="Times New Roman" w:hAnsi="Times New Roman"/>
        <w:color w:val="7F8C8D"/>
        <w:sz w:val="17"/>
      </w:rPr>
      <w:t xml:space="preserve"> </w:t>
    </w:r>
    <w:proofErr w:type="spellStart"/>
    <w:r>
      <w:rPr>
        <w:rFonts w:ascii="Times New Roman" w:hAnsi="Times New Roman"/>
        <w:color w:val="7F8C8D"/>
        <w:sz w:val="17"/>
      </w:rPr>
      <w:t>chiếu</w:t>
    </w:r>
    <w:proofErr w:type="spellEnd"/>
    <w:r>
      <w:rPr>
        <w:rFonts w:ascii="Times New Roman" w:hAnsi="Times New Roman"/>
        <w:color w:val="7F8C8D"/>
        <w:sz w:val="17"/>
      </w:rPr>
      <w:t xml:space="preserve"> </w:t>
    </w:r>
    <w:proofErr w:type="spellStart"/>
    <w:r>
      <w:rPr>
        <w:rFonts w:ascii="Times New Roman" w:hAnsi="Times New Roman"/>
        <w:color w:val="7F8C8D"/>
        <w:sz w:val="17"/>
      </w:rPr>
      <w:t>pháp</w:t>
    </w:r>
    <w:proofErr w:type="spellEnd"/>
    <w:r>
      <w:rPr>
        <w:rFonts w:ascii="Times New Roman" w:hAnsi="Times New Roman"/>
        <w:color w:val="7F8C8D"/>
        <w:sz w:val="17"/>
      </w:rPr>
      <w:t xml:space="preserve"> </w:t>
    </w:r>
    <w:proofErr w:type="spellStart"/>
    <w:r>
      <w:rPr>
        <w:rFonts w:ascii="Times New Roman" w:hAnsi="Times New Roman"/>
        <w:color w:val="7F8C8D"/>
        <w:sz w:val="17"/>
      </w:rPr>
      <w:t>lý</w:t>
    </w:r>
    <w:proofErr w:type="spellEnd"/>
    <w:r>
      <w:rPr>
        <w:rFonts w:ascii="Times New Roman" w:hAnsi="Times New Roman"/>
        <w:color w:val="7F8C8D"/>
        <w:sz w:val="17"/>
      </w:rPr>
      <w:t xml:space="preserve"> </w:t>
    </w:r>
    <w:proofErr w:type="spellStart"/>
    <w:r>
      <w:rPr>
        <w:rFonts w:ascii="Times New Roman" w:hAnsi="Times New Roman"/>
        <w:color w:val="7F8C8D"/>
        <w:sz w:val="17"/>
      </w:rPr>
      <w:t>chuyên</w:t>
    </w:r>
    <w:proofErr w:type="spellEnd"/>
    <w:r>
      <w:rPr>
        <w:rFonts w:ascii="Times New Roman" w:hAnsi="Times New Roman"/>
        <w:color w:val="7F8C8D"/>
        <w:sz w:val="17"/>
      </w:rPr>
      <w:t xml:space="preserve"> </w:t>
    </w:r>
    <w:proofErr w:type="spellStart"/>
    <w:r>
      <w:rPr>
        <w:rFonts w:ascii="Times New Roman" w:hAnsi="Times New Roman"/>
        <w:color w:val="7F8C8D"/>
        <w:sz w:val="17"/>
      </w:rPr>
      <w:t>sâu</w:t>
    </w:r>
    <w:proofErr w:type="spellEnd"/>
    <w:r>
      <w:rPr>
        <w:rFonts w:ascii="Times New Roman" w:hAnsi="Times New Roman"/>
        <w:color w:val="7F8C8D"/>
        <w:sz w:val="17"/>
      </w:rPr>
      <w:t xml:space="preserve"> - Tài </w:t>
    </w:r>
    <w:proofErr w:type="spellStart"/>
    <w:r>
      <w:rPr>
        <w:rFonts w:ascii="Times New Roman" w:hAnsi="Times New Roman"/>
        <w:color w:val="7F8C8D"/>
        <w:sz w:val="17"/>
      </w:rPr>
      <w:t>liệu</w:t>
    </w:r>
    <w:proofErr w:type="spellEnd"/>
    <w:r>
      <w:rPr>
        <w:rFonts w:ascii="Times New Roman" w:hAnsi="Times New Roman"/>
        <w:color w:val="7F8C8D"/>
        <w:sz w:val="17"/>
      </w:rPr>
      <w:t xml:space="preserve"> </w:t>
    </w:r>
    <w:proofErr w:type="spellStart"/>
    <w:r>
      <w:rPr>
        <w:rFonts w:ascii="Times New Roman" w:hAnsi="Times New Roman"/>
        <w:color w:val="7F8C8D"/>
        <w:sz w:val="17"/>
      </w:rPr>
      <w:t>lưu</w:t>
    </w:r>
    <w:proofErr w:type="spellEnd"/>
    <w:r>
      <w:rPr>
        <w:rFonts w:ascii="Times New Roman" w:hAnsi="Times New Roman"/>
        <w:color w:val="7F8C8D"/>
        <w:sz w:val="17"/>
      </w:rPr>
      <w:t xml:space="preserve"> </w:t>
    </w:r>
    <w:proofErr w:type="spellStart"/>
    <w:r>
      <w:rPr>
        <w:rFonts w:ascii="Times New Roman" w:hAnsi="Times New Roman"/>
        <w:color w:val="7F8C8D"/>
        <w:sz w:val="17"/>
      </w:rPr>
      <w:t>hành</w:t>
    </w:r>
    <w:proofErr w:type="spellEnd"/>
    <w:r>
      <w:rPr>
        <w:rFonts w:ascii="Times New Roman" w:hAnsi="Times New Roman"/>
        <w:color w:val="7F8C8D"/>
        <w:sz w:val="17"/>
      </w:rPr>
      <w:t xml:space="preserve"> </w:t>
    </w:r>
    <w:proofErr w:type="spellStart"/>
    <w:r>
      <w:rPr>
        <w:rFonts w:ascii="Times New Roman" w:hAnsi="Times New Roman"/>
        <w:color w:val="7F8C8D"/>
        <w:sz w:val="17"/>
      </w:rPr>
      <w:t>nội</w:t>
    </w:r>
    <w:proofErr w:type="spellEnd"/>
    <w:r>
      <w:rPr>
        <w:rFonts w:ascii="Times New Roman" w:hAnsi="Times New Roman"/>
        <w:color w:val="7F8C8D"/>
        <w:sz w:val="17"/>
      </w:rPr>
      <w:t xml:space="preserve"> </w:t>
    </w:r>
    <w:proofErr w:type="spellStart"/>
    <w:r>
      <w:rPr>
        <w:rFonts w:ascii="Times New Roman" w:hAnsi="Times New Roman"/>
        <w:color w:val="7F8C8D"/>
        <w:sz w:val="17"/>
      </w:rPr>
      <w:t>bộ</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5B7B7" w14:textId="77777777" w:rsidR="00EC1B9E" w:rsidRDefault="00EC1B9E">
      <w:pPr>
        <w:spacing w:after="0" w:line="240" w:lineRule="auto"/>
      </w:pPr>
      <w:r>
        <w:separator/>
      </w:r>
    </w:p>
  </w:footnote>
  <w:footnote w:type="continuationSeparator" w:id="0">
    <w:p w14:paraId="442A8938" w14:textId="77777777" w:rsidR="00EC1B9E" w:rsidRDefault="00EC1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04E1" w14:textId="77777777" w:rsidR="006A263B" w:rsidRDefault="00000000">
    <w:pPr>
      <w:pStyle w:val="Header"/>
      <w:jc w:val="right"/>
    </w:pPr>
    <w:r>
      <w:rPr>
        <w:rFonts w:ascii="Times New Roman" w:hAnsi="Times New Roman"/>
        <w:color w:val="7F8C8D"/>
        <w:sz w:val="17"/>
      </w:rPr>
      <w:t>BÁO CÁO PHÂN TÍCH CHUYÊN SÂU | DỰ THẢO SỬA ĐỔI NGHỊ ĐỊNH 26/2026/NĐ-CP (LUẬT HÓA CHẤT)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540"/>
        </w:tabs>
        <w:ind w:left="540" w:hanging="360"/>
      </w:pPr>
      <w:rPr>
        <w:rFonts w:ascii="Symbol" w:hAnsi="Symbol" w:hint="default"/>
      </w:rPr>
    </w:lvl>
  </w:abstractNum>
  <w:num w:numId="1" w16cid:durableId="1756323915">
    <w:abstractNumId w:val="8"/>
  </w:num>
  <w:num w:numId="2" w16cid:durableId="1872062827">
    <w:abstractNumId w:val="6"/>
  </w:num>
  <w:num w:numId="3" w16cid:durableId="255792836">
    <w:abstractNumId w:val="5"/>
  </w:num>
  <w:num w:numId="4" w16cid:durableId="889001714">
    <w:abstractNumId w:val="4"/>
  </w:num>
  <w:num w:numId="5" w16cid:durableId="1425371611">
    <w:abstractNumId w:val="7"/>
  </w:num>
  <w:num w:numId="6" w16cid:durableId="1600484264">
    <w:abstractNumId w:val="3"/>
  </w:num>
  <w:num w:numId="7" w16cid:durableId="1836919268">
    <w:abstractNumId w:val="2"/>
  </w:num>
  <w:num w:numId="8" w16cid:durableId="517932364">
    <w:abstractNumId w:val="1"/>
  </w:num>
  <w:num w:numId="9" w16cid:durableId="1930770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4593"/>
    <w:rsid w:val="0015074B"/>
    <w:rsid w:val="0029639D"/>
    <w:rsid w:val="00326F90"/>
    <w:rsid w:val="003D1F51"/>
    <w:rsid w:val="006A263B"/>
    <w:rsid w:val="00AA1D8D"/>
    <w:rsid w:val="00B47730"/>
    <w:rsid w:val="00C8166C"/>
    <w:rsid w:val="00CB0664"/>
    <w:rsid w:val="00EC1B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0356E3"/>
  <w14:defaultImageDpi w14:val="300"/>
  <w15:docId w15:val="{601B8062-4944-4BB9-94EF-83B3E7316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12</Pages>
  <Words>5420</Words>
  <Characters>30899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2026-08-25T05:43:00Z</dcterms:modified>
  <cp:category/>
</cp:coreProperties>
</file>