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3A5F"/>
          <w:sz w:val="30"/>
        </w:rPr>
        <w:t>LỘ TRÌNH ĐÓNG GÓI DỊCH VỤ KỸ THUẬT</w:t>
        <w:br/>
        <w:t>CÔNG TY BTCHEM — 22/09 → 31/12/2026</w:t>
      </w:r>
    </w:p>
    <w:p>
      <w:pPr>
        <w:jc w:val="center"/>
      </w:pPr>
      <w:r>
        <w:rPr>
          <w:rFonts w:ascii="Arial" w:hAnsi="Arial"/>
          <w:b w:val="0"/>
          <w:i/>
          <w:sz w:val="18"/>
        </w:rPr>
        <w:t>Căn cứ: ý kiến chỉ đạo của Ban Giám đốc về xây dựng hệ dịch vụ kỹ thuật (bán sự an tâm · kiểm soát chuyền · quản lý mẫu nhân · trách nhiệm và thái độ phục vụ). Người lập: Ngô Đức Minh (Phó Giám đốc). Ngày lập: 22/09/2026.</w:t>
      </w:r>
    </w:p>
    <w:p>
      <w:pPr>
        <w:pStyle w:val="Heading1"/>
      </w:pPr>
      <w:r>
        <w:rPr>
          <w:rFonts w:ascii="Arial" w:hAnsi="Arial"/>
          <w:color w:val="1F3A5F"/>
        </w:rPr>
        <w:t>1. Mục tiêu của việc đóng gói</w:t>
      </w:r>
    </w:p>
    <w:p>
      <w:r>
        <w:rPr>
          <w:rFonts w:ascii="Arial" w:hAnsi="Arial"/>
          <w:b w:val="0"/>
          <w:i w:val="0"/>
          <w:sz w:val="21"/>
        </w:rPr>
        <w:t>Hiện nay toàn bộ hoạt động kỹ thuật đang làm theo yêu cầu, gần như đi kèm miễn phí, không có phạm vi và không có cam kết đo được. Đóng gói là biến nó thành sản phẩm bán được:</w:t>
      </w:r>
    </w:p>
    <w:p>
      <w:pPr>
        <w:pStyle w:val="ListBullet"/>
      </w:pPr>
      <w:r>
        <w:rPr>
          <w:rFonts w:ascii="Arial" w:hAnsi="Arial"/>
          <w:sz w:val="21"/>
        </w:rPr>
        <w:t>Có **phạm vi rõ** — gói nào làm gì, không làm gì (loại trừ cụ thể).</w:t>
      </w:r>
    </w:p>
    <w:p>
      <w:pPr>
        <w:pStyle w:val="ListBullet"/>
      </w:pPr>
      <w:r>
        <w:rPr>
          <w:rFonts w:ascii="Arial" w:hAnsi="Arial"/>
          <w:sz w:val="21"/>
        </w:rPr>
        <w:t>Có **cam kết đo được** — thời gian phản ứng, tiến độ mẫu, mức theo dõi hậu sự cố.</w:t>
      </w:r>
    </w:p>
    <w:p>
      <w:pPr>
        <w:pStyle w:val="ListBullet"/>
      </w:pPr>
      <w:r>
        <w:rPr>
          <w:rFonts w:ascii="Arial" w:hAnsi="Arial"/>
          <w:sz w:val="21"/>
        </w:rPr>
        <w:t>Có **giá và điều kiện thương mại** — thu theo chuyền, theo bộ mẫu hoặc khoán quý.</w:t>
      </w:r>
    </w:p>
    <w:p>
      <w:pPr>
        <w:pStyle w:val="ListBullet"/>
      </w:pPr>
      <w:r>
        <w:rPr>
          <w:rFonts w:ascii="Arial" w:hAnsi="Arial"/>
          <w:sz w:val="21"/>
        </w:rPr>
        <w:t>Có **bằng chứng chất lượng** — dữ liệu tuần/tháng làm căn cứ đối chiếu khi khách tranh luận trách nhiệm.</w:t>
      </w:r>
    </w:p>
    <w:p>
      <w:r>
        <w:rPr>
          <w:rFonts w:ascii="Arial" w:hAnsi="Arial"/>
          <w:b/>
          <w:i w:val="0"/>
          <w:sz w:val="21"/>
        </w:rPr>
        <w:t>Mục tiêu 31/12/2026: 100% chuyền trọng điểm có kỹ thuật viên túc trực từ bước phun lót đầu tiên; không để xảy ra sự cố hàng loạt mà không có biên bản chặn lỗi; không nợ mẫu nhân quá 7 ngày; doanh thu dịch vụ có hợp đồng.</w:t>
      </w:r>
    </w:p>
    <w:p>
      <w:pPr>
        <w:pStyle w:val="Heading1"/>
      </w:pPr>
      <w:r>
        <w:rPr>
          <w:rFonts w:ascii="Arial" w:hAnsi="Arial"/>
          <w:color w:val="1F3A5F"/>
        </w:rPr>
        <w:t>2. Hiện trạng — số liệu thật đang có</w:t>
      </w:r>
    </w:p>
    <w:p>
      <w:r>
        <w:rPr>
          <w:rFonts w:ascii="Arial" w:hAnsi="Arial"/>
          <w:b w:val="0"/>
          <w:i w:val="0"/>
          <w:sz w:val="21"/>
        </w:rPr>
        <w:t>Điểm mạnh lớn nhất của mình là **đã có sẵn hạ tầng đo lường**, thứ mà nhiều đơn vị cùng ngành không có. Cái còn thiếu chỉ là phần để bán: phạm vi – cam kết – giá – hồ sơ năng lực.</w:t>
      </w:r>
    </w:p>
    <w:tbl>
      <w:tblPr>
        <w:tblStyle w:val="TableGrid"/>
        <w:tblW w:type="auto" w:w="0"/>
        <w:jc w:val="center"/>
        <w:tblLook w:firstColumn="1" w:firstRow="1" w:lastColumn="0" w:lastRow="0" w:noHBand="0" w:noVBand="1" w:val="04A0"/>
      </w:tblPr>
      <w:tblGrid>
        <w:gridCol w:w="3362"/>
        <w:gridCol w:w="3362"/>
        <w:gridCol w:w="3362"/>
      </w:tblGrid>
      <w:tr>
        <w:tc>
          <w:tcPr>
            <w:tcW w:type="dxa" w:w="3362"/>
          </w:tcPr>
          <w:p>
            <w:r>
              <w:rPr>
                <w:rFonts w:ascii="Arial" w:hAnsi="Arial"/>
                <w:b/>
                <w:sz w:val="18"/>
              </w:rPr>
              <w:t>Chỉ số</w:t>
            </w:r>
          </w:p>
        </w:tc>
        <w:tc>
          <w:tcPr>
            <w:tcW w:type="dxa" w:w="3362"/>
          </w:tcPr>
          <w:p>
            <w:r>
              <w:rPr>
                <w:rFonts w:ascii="Arial" w:hAnsi="Arial"/>
                <w:b/>
                <w:sz w:val="18"/>
              </w:rPr>
              <w:t>Số thật</w:t>
            </w:r>
          </w:p>
        </w:tc>
        <w:tc>
          <w:tcPr>
            <w:tcW w:type="dxa" w:w="3362"/>
          </w:tcPr>
          <w:p>
            <w:r>
              <w:rPr>
                <w:rFonts w:ascii="Arial" w:hAnsi="Arial"/>
                <w:b/>
                <w:sz w:val="18"/>
              </w:rPr>
              <w:t>Nguồn dữ liệu</w:t>
            </w:r>
          </w:p>
        </w:tc>
      </w:tr>
      <w:tr>
        <w:tc>
          <w:tcPr>
            <w:tcW w:type="dxa" w:w="3362"/>
          </w:tcPr>
          <w:p>
            <w:r>
              <w:rPr>
                <w:rFonts w:ascii="Arial" w:hAnsi="Arial"/>
                <w:b w:val="0"/>
                <w:sz w:val="18"/>
              </w:rPr>
              <w:t>Khách hàng / nhà máy đang phục vụ</w:t>
            </w:r>
          </w:p>
        </w:tc>
        <w:tc>
          <w:tcPr>
            <w:tcW w:type="dxa" w:w="3362"/>
          </w:tcPr>
          <w:p>
            <w:r>
              <w:rPr>
                <w:rFonts w:ascii="Arial" w:hAnsi="Arial"/>
                <w:b w:val="0"/>
                <w:sz w:val="18"/>
              </w:rPr>
              <w:t>177 khách · 78 nhà máy</w:t>
            </w:r>
          </w:p>
        </w:tc>
        <w:tc>
          <w:tcPr>
            <w:tcW w:type="dxa" w:w="3362"/>
          </w:tcPr>
          <w:p>
            <w:r>
              <w:rPr>
                <w:rFonts w:ascii="Arial" w:hAnsi="Arial"/>
                <w:b w:val="0"/>
                <w:sz w:val="18"/>
              </w:rPr>
              <w:t>btchem.db · btchem_kph.db</w:t>
            </w:r>
          </w:p>
        </w:tc>
      </w:tr>
      <w:tr>
        <w:tc>
          <w:tcPr>
            <w:tcW w:type="dxa" w:w="3362"/>
          </w:tcPr>
          <w:p>
            <w:r>
              <w:rPr>
                <w:rFonts w:ascii="Arial" w:hAnsi="Arial"/>
                <w:b w:val="0"/>
                <w:sz w:val="18"/>
              </w:rPr>
              <w:t>Hồ sơ khiếu nại tích luỹ</w:t>
            </w:r>
          </w:p>
        </w:tc>
        <w:tc>
          <w:tcPr>
            <w:tcW w:type="dxa" w:w="3362"/>
          </w:tcPr>
          <w:p>
            <w:r>
              <w:rPr>
                <w:rFonts w:ascii="Arial" w:hAnsi="Arial"/>
                <w:b w:val="0"/>
                <w:sz w:val="18"/>
              </w:rPr>
              <w:t>827 hồ sơ (618 chất lượng · 171 sai màu · 27 tổng hợp · 11 nội bộ)</w:t>
            </w:r>
          </w:p>
        </w:tc>
        <w:tc>
          <w:tcPr>
            <w:tcW w:type="dxa" w:w="3362"/>
          </w:tcPr>
          <w:p>
            <w:r>
              <w:rPr>
                <w:rFonts w:ascii="Arial" w:hAnsi="Arial"/>
                <w:b w:val="0"/>
                <w:sz w:val="18"/>
              </w:rPr>
              <w:t>btchem_kph.db</w:t>
            </w:r>
          </w:p>
        </w:tc>
      </w:tr>
      <w:tr>
        <w:tc>
          <w:tcPr>
            <w:tcW w:type="dxa" w:w="3362"/>
          </w:tcPr>
          <w:p>
            <w:r>
              <w:rPr>
                <w:rFonts w:ascii="Arial" w:hAnsi="Arial"/>
                <w:b w:val="0"/>
                <w:sz w:val="18"/>
              </w:rPr>
              <w:t>Vụ khiếu nại đang mở</w:t>
            </w:r>
          </w:p>
        </w:tc>
        <w:tc>
          <w:tcPr>
            <w:tcW w:type="dxa" w:w="3362"/>
          </w:tcPr>
          <w:p>
            <w:r>
              <w:rPr>
                <w:rFonts w:ascii="Arial" w:hAnsi="Arial"/>
                <w:b w:val="0"/>
                <w:sz w:val="18"/>
              </w:rPr>
              <w:t>39 vụ (19 theo dõi · 11 đang xử lý · 9 đã xử lý)</w:t>
            </w:r>
          </w:p>
        </w:tc>
        <w:tc>
          <w:tcPr>
            <w:tcW w:type="dxa" w:w="3362"/>
          </w:tcPr>
          <w:p>
            <w:r>
              <w:rPr>
                <w:rFonts w:ascii="Arial" w:hAnsi="Arial"/>
                <w:b w:val="0"/>
                <w:sz w:val="18"/>
              </w:rPr>
              <w:t>btchem.db — su_co_kph</w:t>
            </w:r>
          </w:p>
        </w:tc>
      </w:tr>
      <w:tr>
        <w:tc>
          <w:tcPr>
            <w:tcW w:type="dxa" w:w="3362"/>
          </w:tcPr>
          <w:p>
            <w:r>
              <w:rPr>
                <w:rFonts w:ascii="Arial" w:hAnsi="Arial"/>
                <w:b w:val="0"/>
                <w:sz w:val="18"/>
              </w:rPr>
              <w:t>Hiện tượng gặp nhiều nhất</w:t>
            </w:r>
          </w:p>
        </w:tc>
        <w:tc>
          <w:tcPr>
            <w:tcW w:type="dxa" w:w="3362"/>
          </w:tcPr>
          <w:p>
            <w:r>
              <w:rPr>
                <w:rFonts w:ascii="Arial" w:hAnsi="Arial"/>
                <w:b w:val="0"/>
                <w:sz w:val="18"/>
              </w:rPr>
              <w:t>màu 444 · bóng 176 · khô 115 · dính 48 · lỗ 24 · nứt 13</w:t>
            </w:r>
          </w:p>
        </w:tc>
        <w:tc>
          <w:tcPr>
            <w:tcW w:type="dxa" w:w="3362"/>
          </w:tcPr>
          <w:p>
            <w:r>
              <w:rPr>
                <w:rFonts w:ascii="Arial" w:hAnsi="Arial"/>
                <w:b w:val="0"/>
                <w:sz w:val="18"/>
              </w:rPr>
              <w:t>827 hồ sơ khiếu nại</w:t>
            </w:r>
          </w:p>
        </w:tc>
      </w:tr>
      <w:tr>
        <w:tc>
          <w:tcPr>
            <w:tcW w:type="dxa" w:w="3362"/>
          </w:tcPr>
          <w:p>
            <w:r>
              <w:rPr>
                <w:rFonts w:ascii="Arial" w:hAnsi="Arial"/>
                <w:b w:val="0"/>
                <w:sz w:val="18"/>
              </w:rPr>
              <w:t>Mẫu làm tuần 38</w:t>
            </w:r>
          </w:p>
        </w:tc>
        <w:tc>
          <w:tcPr>
            <w:tcW w:type="dxa" w:w="3362"/>
          </w:tcPr>
          <w:p>
            <w:r>
              <w:rPr>
                <w:rFonts w:ascii="Arial" w:hAnsi="Arial"/>
                <w:b w:val="0"/>
                <w:sz w:val="18"/>
              </w:rPr>
              <w:t>174 dòng · 34 nhà máy · 1.258 cái</w:t>
            </w:r>
          </w:p>
        </w:tc>
        <w:tc>
          <w:tcPr>
            <w:tcW w:type="dxa" w:w="3362"/>
          </w:tcPr>
          <w:p>
            <w:r>
              <w:rPr>
                <w:rFonts w:ascii="Arial" w:hAnsi="Arial"/>
                <w:b w:val="0"/>
                <w:sz w:val="18"/>
              </w:rPr>
              <w:t>btchem.db — mau_lam</w:t>
            </w:r>
          </w:p>
        </w:tc>
      </w:tr>
      <w:tr>
        <w:tc>
          <w:tcPr>
            <w:tcW w:type="dxa" w:w="3362"/>
          </w:tcPr>
          <w:p>
            <w:r>
              <w:rPr>
                <w:rFonts w:ascii="Arial" w:hAnsi="Arial"/>
                <w:b w:val="0"/>
                <w:sz w:val="18"/>
              </w:rPr>
              <w:t>Báo cáo kỹ thuật tuần đã có</w:t>
            </w:r>
          </w:p>
        </w:tc>
        <w:tc>
          <w:tcPr>
            <w:tcW w:type="dxa" w:w="3362"/>
          </w:tcPr>
          <w:p>
            <w:r>
              <w:rPr>
                <w:rFonts w:ascii="Arial" w:hAnsi="Arial"/>
                <w:b w:val="0"/>
                <w:sz w:val="18"/>
              </w:rPr>
              <w:t>95 báo cáo · 15 tuần dữ liệu</w:t>
            </w:r>
          </w:p>
        </w:tc>
        <w:tc>
          <w:tcPr>
            <w:tcW w:type="dxa" w:w="3362"/>
          </w:tcPr>
          <w:p>
            <w:r>
              <w:rPr>
                <w:rFonts w:ascii="Arial" w:hAnsi="Arial"/>
                <w:b w:val="0"/>
                <w:sz w:val="18"/>
              </w:rPr>
              <w:t>btchem.db — bao_cao_kt_tuan</w:t>
            </w:r>
          </w:p>
        </w:tc>
      </w:tr>
      <w:tr>
        <w:tc>
          <w:tcPr>
            <w:tcW w:type="dxa" w:w="3362"/>
          </w:tcPr>
          <w:p>
            <w:r>
              <w:rPr>
                <w:rFonts w:ascii="Arial" w:hAnsi="Arial"/>
                <w:b w:val="0"/>
                <w:sz w:val="18"/>
              </w:rPr>
              <w:t>Báo cáo CSKH đã có</w:t>
            </w:r>
          </w:p>
        </w:tc>
        <w:tc>
          <w:tcPr>
            <w:tcW w:type="dxa" w:w="3362"/>
          </w:tcPr>
          <w:p>
            <w:r>
              <w:rPr>
                <w:rFonts w:ascii="Arial" w:hAnsi="Arial"/>
                <w:b w:val="0"/>
                <w:sz w:val="18"/>
              </w:rPr>
              <w:t>85 báo cáo</w:t>
            </w:r>
          </w:p>
        </w:tc>
        <w:tc>
          <w:tcPr>
            <w:tcW w:type="dxa" w:w="3362"/>
          </w:tcPr>
          <w:p>
            <w:r>
              <w:rPr>
                <w:rFonts w:ascii="Arial" w:hAnsi="Arial"/>
                <w:b w:val="0"/>
                <w:sz w:val="18"/>
              </w:rPr>
              <w:t>btchem.db — bao_cao_cskh</w:t>
            </w:r>
          </w:p>
        </w:tc>
      </w:tr>
      <w:tr>
        <w:tc>
          <w:tcPr>
            <w:tcW w:type="dxa" w:w="3362"/>
          </w:tcPr>
          <w:p>
            <w:r>
              <w:rPr>
                <w:rFonts w:ascii="Arial" w:hAnsi="Arial"/>
                <w:b w:val="0"/>
                <w:sz w:val="18"/>
              </w:rPr>
              <w:t>Danh sách phái viên kỹ thuật</w:t>
            </w:r>
          </w:p>
        </w:tc>
        <w:tc>
          <w:tcPr>
            <w:tcW w:type="dxa" w:w="3362"/>
          </w:tcPr>
          <w:p>
            <w:r>
              <w:rPr>
                <w:rFonts w:ascii="Arial" w:hAnsi="Arial"/>
                <w:b w:val="0"/>
                <w:sz w:val="18"/>
              </w:rPr>
              <w:t>240 dòng (gồm cộng tác viên các cụm nhà máy)</w:t>
            </w:r>
          </w:p>
        </w:tc>
        <w:tc>
          <w:tcPr>
            <w:tcW w:type="dxa" w:w="3362"/>
          </w:tcPr>
          <w:p>
            <w:r>
              <w:rPr>
                <w:rFonts w:ascii="Arial" w:hAnsi="Arial"/>
                <w:b w:val="0"/>
                <w:sz w:val="18"/>
              </w:rPr>
              <w:t>btchem.db — phai_vien_kt</w:t>
            </w:r>
          </w:p>
        </w:tc>
      </w:tr>
    </w:tbl>
    <w:p>
      <w:r>
        <w:rPr>
          <w:rFonts w:ascii="Arial" w:hAnsi="Arial"/>
          <w:b w:val="0"/>
          <w:i w:val="0"/>
          <w:sz w:val="21"/>
        </w:rPr>
      </w:r>
    </w:p>
    <w:p>
      <w:r>
        <w:rPr>
          <w:rFonts w:ascii="Arial" w:hAnsi="Arial"/>
          <w:b/>
          <w:i w:val="0"/>
          <w:sz w:val="21"/>
        </w:rPr>
        <w:t>5 khách có số vụ nhiều nhất (ưu tiên thí điểm gói dịch vụ): Hạnh Phúc 42 · Minh Phát 35 · Hố Nai 30 · Thành Thắng 28 · Mekong 28 — kế đó Anh Khoa 27 · Thiết Đan 23 · Minh Dương 22 · Minh Hưng Tiến 20 · Kim Huy 20.</w:t>
      </w:r>
    </w:p>
    <w:p>
      <w:pPr>
        <w:pStyle w:val="Heading1"/>
      </w:pPr>
      <w:r>
        <w:rPr>
          <w:rFonts w:ascii="Arial" w:hAnsi="Arial"/>
          <w:color w:val="1F3A5F"/>
        </w:rPr>
        <w:t>3. Bốn gói dịch vụ (theo 4 quan điểm chỉ đạo)</w:t>
      </w:r>
    </w:p>
    <w:p>
      <w:r>
        <w:rPr>
          <w:rFonts w:ascii="Arial" w:hAnsi="Arial"/>
          <w:b w:val="0"/>
          <w:i w:val="0"/>
          <w:sz w:val="21"/>
        </w:rPr>
        <w:t>Mỗi gói là một sản phẩm riêng: bán lẻ từng gói hoặc theo bộ. Cột “cam kết” là căn cứ tính giá và là cơ sở xử lý khi có tranh chấp.</w:t>
      </w:r>
    </w:p>
    <w:tbl>
      <w:tblPr>
        <w:tblStyle w:val="TableGrid"/>
        <w:tblW w:type="auto" w:w="0"/>
        <w:jc w:val="center"/>
        <w:tblLook w:firstColumn="1" w:firstRow="1" w:lastColumn="0" w:lastRow="0" w:noHBand="0" w:noVBand="1" w:val="04A0"/>
      </w:tblPr>
      <w:tblGrid>
        <w:gridCol w:w="2521"/>
        <w:gridCol w:w="2521"/>
        <w:gridCol w:w="2521"/>
        <w:gridCol w:w="2521"/>
      </w:tblGrid>
      <w:tr>
        <w:tc>
          <w:tcPr>
            <w:tcW w:type="dxa" w:w="2521"/>
          </w:tcPr>
          <w:p>
            <w:r>
              <w:rPr>
                <w:rFonts w:ascii="Arial" w:hAnsi="Arial"/>
                <w:b/>
                <w:sz w:val="17"/>
              </w:rPr>
              <w:t>Gói</w:t>
            </w:r>
          </w:p>
        </w:tc>
        <w:tc>
          <w:tcPr>
            <w:tcW w:type="dxa" w:w="2521"/>
          </w:tcPr>
          <w:p>
            <w:r>
              <w:rPr>
                <w:rFonts w:ascii="Arial" w:hAnsi="Arial"/>
                <w:b/>
                <w:sz w:val="17"/>
              </w:rPr>
              <w:t>Phạm vi</w:t>
            </w:r>
          </w:p>
        </w:tc>
        <w:tc>
          <w:tcPr>
            <w:tcW w:type="dxa" w:w="2521"/>
          </w:tcPr>
          <w:p>
            <w:r>
              <w:rPr>
                <w:rFonts w:ascii="Arial" w:hAnsi="Arial"/>
                <w:b/>
                <w:sz w:val="17"/>
              </w:rPr>
              <w:t>Đầu ra bắt buộc</w:t>
            </w:r>
          </w:p>
        </w:tc>
        <w:tc>
          <w:tcPr>
            <w:tcW w:type="dxa" w:w="2521"/>
          </w:tcPr>
          <w:p>
            <w:r>
              <w:rPr>
                <w:rFonts w:ascii="Arial" w:hAnsi="Arial"/>
                <w:b/>
                <w:sz w:val="17"/>
              </w:rPr>
              <w:t>Cam kết (đề xuất)</w:t>
            </w:r>
          </w:p>
        </w:tc>
      </w:tr>
      <w:tr>
        <w:tc>
          <w:tcPr>
            <w:tcW w:type="dxa" w:w="2521"/>
          </w:tcPr>
          <w:p>
            <w:r>
              <w:rPr>
                <w:rFonts w:ascii="Arial" w:hAnsi="Arial"/>
                <w:b w:val="0"/>
                <w:sz w:val="17"/>
              </w:rPr>
              <w:t>1. Kiểm soát chuyền</w:t>
              <w:br/>
              <w:t>(coi chuyền)</w:t>
            </w:r>
          </w:p>
        </w:tc>
        <w:tc>
          <w:tcPr>
            <w:tcW w:type="dxa" w:w="2521"/>
          </w:tcPr>
          <w:p>
            <w:r>
              <w:rPr>
                <w:rFonts w:ascii="Arial" w:hAnsi="Arial"/>
                <w:b w:val="0"/>
                <w:sz w:val="17"/>
              </w:rPr>
              <w:t>Kỹ thuật viên túc trực tại chuyền từ bước phun lót đầu tiên; kiểm tra phôi mộc và màng sơn; có quyền yêu cầu dừng/đổi phôi khi phôi xấu, sai quy cách</w:t>
            </w:r>
          </w:p>
        </w:tc>
        <w:tc>
          <w:tcPr>
            <w:tcW w:type="dxa" w:w="2521"/>
          </w:tcPr>
          <w:p>
            <w:r>
              <w:rPr>
                <w:rFonts w:ascii="Arial" w:hAnsi="Arial"/>
                <w:b w:val="0"/>
                <w:sz w:val="17"/>
              </w:rPr>
              <w:t>Biên bản chặn lỗi theo ca; báo cáo chuyền hằng ngày; ảnh hiện trạng</w:t>
            </w:r>
          </w:p>
        </w:tc>
        <w:tc>
          <w:tcPr>
            <w:tcW w:type="dxa" w:w="2521"/>
          </w:tcPr>
          <w:p>
            <w:r>
              <w:rPr>
                <w:rFonts w:ascii="Arial" w:hAnsi="Arial"/>
                <w:b w:val="0"/>
                <w:sz w:val="17"/>
              </w:rPr>
              <w:t>Có mặt trong 2 giờ khi khách báo; chặn lỗi trước khi sang công đoạn sau</w:t>
            </w:r>
          </w:p>
        </w:tc>
      </w:tr>
      <w:tr>
        <w:tc>
          <w:tcPr>
            <w:tcW w:type="dxa" w:w="2521"/>
          </w:tcPr>
          <w:p>
            <w:r>
              <w:rPr>
                <w:rFonts w:ascii="Arial" w:hAnsi="Arial"/>
                <w:b w:val="0"/>
                <w:sz w:val="17"/>
              </w:rPr>
              <w:t>2. Quản lý &amp; phát triển mẫu nhân</w:t>
              <w:br/>
              <w:t>(mẫu bộ / mẫu thẻ công đoạn)</w:t>
            </w:r>
          </w:p>
        </w:tc>
        <w:tc>
          <w:tcPr>
            <w:tcW w:type="dxa" w:w="2521"/>
          </w:tcPr>
          <w:p>
            <w:r>
              <w:rPr>
                <w:rFonts w:ascii="Arial" w:hAnsi="Arial"/>
                <w:b w:val="0"/>
                <w:sz w:val="17"/>
              </w:rPr>
              <w:t>Chọn phôi mẫu phản ánh đúng 100% đặc tính phôi sản xuất đại trà; nhân mẫu bộ và thẻ công đoạn; đồng bộ điều kiện soi mẫu với khách</w:t>
            </w:r>
          </w:p>
        </w:tc>
        <w:tc>
          <w:tcPr>
            <w:tcW w:type="dxa" w:w="2521"/>
          </w:tcPr>
          <w:p>
            <w:r>
              <w:rPr>
                <w:rFonts w:ascii="Arial" w:hAnsi="Arial"/>
                <w:b w:val="0"/>
                <w:sz w:val="17"/>
              </w:rPr>
              <w:t>Hồ sơ mẫu (phôi chọn, thông số, ảnh); thẻ công đoạn; lịch giao mẫu</w:t>
            </w:r>
          </w:p>
        </w:tc>
        <w:tc>
          <w:tcPr>
            <w:tcW w:type="dxa" w:w="2521"/>
          </w:tcPr>
          <w:p>
            <w:r>
              <w:rPr>
                <w:rFonts w:ascii="Arial" w:hAnsi="Arial"/>
                <w:b w:val="0"/>
                <w:sz w:val="17"/>
              </w:rPr>
              <w:t>Không nợ mẫu quá 7 ngày/bộ; thông báo trước 48 giờ nếu chậm</w:t>
            </w:r>
          </w:p>
        </w:tc>
      </w:tr>
      <w:tr>
        <w:tc>
          <w:tcPr>
            <w:tcW w:type="dxa" w:w="2521"/>
          </w:tcPr>
          <w:p>
            <w:r>
              <w:rPr>
                <w:rFonts w:ascii="Arial" w:hAnsi="Arial"/>
                <w:b w:val="0"/>
                <w:sz w:val="17"/>
              </w:rPr>
              <w:t>3. Xử lý sự cố &amp; truy nguyên</w:t>
              <w:br/>
              <w:t>(khiếu nại)</w:t>
            </w:r>
          </w:p>
        </w:tc>
        <w:tc>
          <w:tcPr>
            <w:tcW w:type="dxa" w:w="2521"/>
          </w:tcPr>
          <w:p>
            <w:r>
              <w:rPr>
                <w:rFonts w:ascii="Arial" w:hAnsi="Arial"/>
                <w:b w:val="0"/>
                <w:sz w:val="17"/>
              </w:rPr>
              <w:t>Tiếp nhận, kiểm tra hiện trường, phân tích nguyên nhân gốc rễ, phương án xử lý, theo dõi đến hết lô hàng bị ảnh hưởng</w:t>
            </w:r>
          </w:p>
        </w:tc>
        <w:tc>
          <w:tcPr>
            <w:tcW w:type="dxa" w:w="2521"/>
          </w:tcPr>
          <w:p>
            <w:r>
              <w:rPr>
                <w:rFonts w:ascii="Arial" w:hAnsi="Arial"/>
                <w:b w:val="0"/>
                <w:sz w:val="17"/>
              </w:rPr>
              <w:t>Hồ sơ khiếu nại (mô tả, nguyên nhân, phương án, kết quả); cập nhật cổng thông tin</w:t>
            </w:r>
          </w:p>
        </w:tc>
        <w:tc>
          <w:tcPr>
            <w:tcW w:type="dxa" w:w="2521"/>
          </w:tcPr>
          <w:p>
            <w:r>
              <w:rPr>
                <w:rFonts w:ascii="Arial" w:hAnsi="Arial"/>
                <w:b w:val="0"/>
                <w:sz w:val="17"/>
              </w:rPr>
              <w:t>Tiếp nhận trong 2 giờ; có nguyên nhân gốc rễ trong 48 giờ; theo dõi đến khi lô chạy xong</w:t>
            </w:r>
          </w:p>
        </w:tc>
      </w:tr>
      <w:tr>
        <w:tc>
          <w:tcPr>
            <w:tcW w:type="dxa" w:w="2521"/>
          </w:tcPr>
          <w:p>
            <w:r>
              <w:rPr>
                <w:rFonts w:ascii="Arial" w:hAnsi="Arial"/>
                <w:b w:val="0"/>
                <w:sz w:val="17"/>
              </w:rPr>
              <w:t>4. Giám sát kiểm tra &amp; đào tạo chuyền</w:t>
              <w:br/>
              <w:t>(gói tuỳ chọn)</w:t>
            </w:r>
          </w:p>
        </w:tc>
        <w:tc>
          <w:tcPr>
            <w:tcW w:type="dxa" w:w="2521"/>
          </w:tcPr>
          <w:p>
            <w:r>
              <w:rPr>
                <w:rFonts w:ascii="Arial" w:hAnsi="Arial"/>
                <w:b w:val="0"/>
                <w:sz w:val="17"/>
              </w:rPr>
              <w:t>Kiểm tra định kỳ theo tầng kiểm soát; đo điều kiện ánh sáng và thiết bị; đào tạo công nhân phun và tổ trưởng</w:t>
            </w:r>
          </w:p>
        </w:tc>
        <w:tc>
          <w:tcPr>
            <w:tcW w:type="dxa" w:w="2521"/>
          </w:tcPr>
          <w:p>
            <w:r>
              <w:rPr>
                <w:rFonts w:ascii="Arial" w:hAnsi="Arial"/>
                <w:b w:val="0"/>
                <w:sz w:val="17"/>
              </w:rPr>
              <w:t>Biên bản kiểm tra định kỳ; báo cáo điều kiện ánh sáng; biên bản đào tạo</w:t>
            </w:r>
          </w:p>
        </w:tc>
        <w:tc>
          <w:tcPr>
            <w:tcW w:type="dxa" w:w="2521"/>
          </w:tcPr>
          <w:p>
            <w:r>
              <w:rPr>
                <w:rFonts w:ascii="Arial" w:hAnsi="Arial"/>
                <w:b w:val="0"/>
                <w:sz w:val="17"/>
              </w:rPr>
              <w:t>Kiểm tra theo lịch đã cam kết; có biên bản sau mỗi buổi đào tạo</w:t>
            </w:r>
          </w:p>
        </w:tc>
      </w:tr>
    </w:tbl>
    <w:p>
      <w:pPr>
        <w:pStyle w:val="Heading1"/>
      </w:pPr>
      <w:r>
        <w:rPr>
          <w:rFonts w:ascii="Arial" w:hAnsi="Arial"/>
          <w:color w:val="1F3A5F"/>
        </w:rPr>
        <w:t>4. Cách thu tiền và điều kiện thương mại</w:t>
      </w:r>
    </w:p>
    <w:tbl>
      <w:tblPr>
        <w:tblStyle w:val="TableGrid"/>
        <w:tblW w:type="auto" w:w="0"/>
        <w:jc w:val="center"/>
        <w:tblLook w:firstColumn="1" w:firstRow="1" w:lastColumn="0" w:lastRow="0" w:noHBand="0" w:noVBand="1" w:val="04A0"/>
      </w:tblPr>
      <w:tblGrid>
        <w:gridCol w:w="3362"/>
        <w:gridCol w:w="3362"/>
        <w:gridCol w:w="3362"/>
      </w:tblGrid>
      <w:tr>
        <w:tc>
          <w:tcPr>
            <w:tcW w:type="dxa" w:w="3362"/>
          </w:tcPr>
          <w:p>
            <w:r>
              <w:rPr>
                <w:rFonts w:ascii="Arial" w:hAnsi="Arial"/>
                <w:b/>
                <w:sz w:val="18"/>
              </w:rPr>
              <w:t>Gói</w:t>
            </w:r>
          </w:p>
        </w:tc>
        <w:tc>
          <w:tcPr>
            <w:tcW w:type="dxa" w:w="3362"/>
          </w:tcPr>
          <w:p>
            <w:r>
              <w:rPr>
                <w:rFonts w:ascii="Arial" w:hAnsi="Arial"/>
                <w:b/>
                <w:sz w:val="18"/>
              </w:rPr>
              <w:t>Cách thu đề xuất</w:t>
            </w:r>
          </w:p>
        </w:tc>
        <w:tc>
          <w:tcPr>
            <w:tcW w:type="dxa" w:w="3362"/>
          </w:tcPr>
          <w:p>
            <w:r>
              <w:rPr>
                <w:rFonts w:ascii="Arial" w:hAnsi="Arial"/>
                <w:b/>
                <w:sz w:val="18"/>
              </w:rPr>
              <w:t>Ghi chú triển khai</w:t>
            </w:r>
          </w:p>
        </w:tc>
      </w:tr>
      <w:tr>
        <w:tc>
          <w:tcPr>
            <w:tcW w:type="dxa" w:w="3362"/>
          </w:tcPr>
          <w:p>
            <w:r>
              <w:rPr>
                <w:rFonts w:ascii="Arial" w:hAnsi="Arial"/>
                <w:b w:val="0"/>
                <w:sz w:val="18"/>
              </w:rPr>
              <w:t>1. Kiểm soát chuyền</w:t>
            </w:r>
          </w:p>
        </w:tc>
        <w:tc>
          <w:tcPr>
            <w:tcW w:type="dxa" w:w="3362"/>
          </w:tcPr>
          <w:p>
            <w:r>
              <w:rPr>
                <w:rFonts w:ascii="Arial" w:hAnsi="Arial"/>
                <w:b w:val="0"/>
                <w:sz w:val="18"/>
              </w:rPr>
              <w:t>Theo chuyền / tháng (kể cả ngày không có hàng chạy)</w:t>
            </w:r>
          </w:p>
        </w:tc>
        <w:tc>
          <w:tcPr>
            <w:tcW w:type="dxa" w:w="3362"/>
          </w:tcPr>
          <w:p>
            <w:r>
              <w:rPr>
                <w:rFonts w:ascii="Arial" w:hAnsi="Arial"/>
                <w:b w:val="0"/>
                <w:sz w:val="18"/>
              </w:rPr>
              <w:t>Chốt số chuyền đăng ký đầu tháng; vượt số chuyền tính thêm</w:t>
            </w:r>
          </w:p>
        </w:tc>
      </w:tr>
      <w:tr>
        <w:tc>
          <w:tcPr>
            <w:tcW w:type="dxa" w:w="3362"/>
          </w:tcPr>
          <w:p>
            <w:r>
              <w:rPr>
                <w:rFonts w:ascii="Arial" w:hAnsi="Arial"/>
                <w:b w:val="0"/>
                <w:sz w:val="18"/>
              </w:rPr>
              <w:t>2. Mẫu nhân</w:t>
            </w:r>
          </w:p>
        </w:tc>
        <w:tc>
          <w:tcPr>
            <w:tcW w:type="dxa" w:w="3362"/>
          </w:tcPr>
          <w:p>
            <w:r>
              <w:rPr>
                <w:rFonts w:ascii="Arial" w:hAnsi="Arial"/>
                <w:b w:val="0"/>
                <w:sz w:val="18"/>
              </w:rPr>
              <w:t>Theo bộ mẫu (mẫu bộ, mẫu thẻ công đoạn), có biểu giá riêng</w:t>
            </w:r>
          </w:p>
        </w:tc>
        <w:tc>
          <w:tcPr>
            <w:tcW w:type="dxa" w:w="3362"/>
          </w:tcPr>
          <w:p>
            <w:r>
              <w:rPr>
                <w:rFonts w:ascii="Arial" w:hAnsi="Arial"/>
                <w:b w:val="0"/>
                <w:sz w:val="18"/>
              </w:rPr>
              <w:t>Phí phát sinh nếu phải làm lại do khách đổi yêu cầu</w:t>
            </w:r>
          </w:p>
        </w:tc>
      </w:tr>
      <w:tr>
        <w:tc>
          <w:tcPr>
            <w:tcW w:type="dxa" w:w="3362"/>
          </w:tcPr>
          <w:p>
            <w:r>
              <w:rPr>
                <w:rFonts w:ascii="Arial" w:hAnsi="Arial"/>
                <w:b w:val="0"/>
                <w:sz w:val="18"/>
              </w:rPr>
              <w:t>3. Xử lý sự cố</w:t>
            </w:r>
          </w:p>
        </w:tc>
        <w:tc>
          <w:tcPr>
            <w:tcW w:type="dxa" w:w="3362"/>
          </w:tcPr>
          <w:p>
            <w:r>
              <w:rPr>
                <w:rFonts w:ascii="Arial" w:hAnsi="Arial"/>
                <w:b w:val="0"/>
                <w:sz w:val="18"/>
              </w:rPr>
              <w:t>Khoán theo quý cho khách thường xuyên, hoặc theo vụ</w:t>
            </w:r>
          </w:p>
        </w:tc>
        <w:tc>
          <w:tcPr>
            <w:tcW w:type="dxa" w:w="3362"/>
          </w:tcPr>
          <w:p>
            <w:r>
              <w:rPr>
                <w:rFonts w:ascii="Arial" w:hAnsi="Arial"/>
                <w:b w:val="0"/>
                <w:sz w:val="18"/>
              </w:rPr>
              <w:t>Ghi rõ loại trừ: phôi mộc khách cấp, tay nghề công nhân, điều kiện ánh sáng do khách</w:t>
            </w:r>
          </w:p>
        </w:tc>
      </w:tr>
      <w:tr>
        <w:tc>
          <w:tcPr>
            <w:tcW w:type="dxa" w:w="3362"/>
          </w:tcPr>
          <w:p>
            <w:r>
              <w:rPr>
                <w:rFonts w:ascii="Arial" w:hAnsi="Arial"/>
                <w:b w:val="0"/>
                <w:sz w:val="18"/>
              </w:rPr>
              <w:t>4. Giám sát &amp; đào tạo</w:t>
            </w:r>
          </w:p>
        </w:tc>
        <w:tc>
          <w:tcPr>
            <w:tcW w:type="dxa" w:w="3362"/>
          </w:tcPr>
          <w:p>
            <w:r>
              <w:rPr>
                <w:rFonts w:ascii="Arial" w:hAnsi="Arial"/>
                <w:b w:val="0"/>
                <w:sz w:val="18"/>
              </w:rPr>
              <w:t>Theo buổi đào tạo + phí kiểm tra định kỳ</w:t>
            </w:r>
          </w:p>
        </w:tc>
        <w:tc>
          <w:tcPr>
            <w:tcW w:type="dxa" w:w="3362"/>
          </w:tcPr>
          <w:p>
            <w:r>
              <w:rPr>
                <w:rFonts w:ascii="Arial" w:hAnsi="Arial"/>
                <w:b w:val="0"/>
                <w:sz w:val="18"/>
              </w:rPr>
              <w:t>Có thể bán kèm gói 1</w:t>
            </w:r>
          </w:p>
        </w:tc>
      </w:tr>
    </w:tbl>
    <w:p>
      <w:r>
        <w:rPr>
          <w:rFonts w:ascii="Arial" w:hAnsi="Arial"/>
          <w:b w:val="0"/>
          <w:i w:val="0"/>
          <w:sz w:val="21"/>
        </w:rPr>
      </w:r>
    </w:p>
    <w:p>
      <w:r>
        <w:rPr>
          <w:rFonts w:ascii="Arial" w:hAnsi="Arial"/>
          <w:b/>
          <w:i w:val="0"/>
          <w:sz w:val="21"/>
        </w:rPr>
        <w:t>Nguyên tắc “bán sự an tâm” khi soạn hợp đồng: cam kết theo **hành vi và thời hạn** (có mặt, có biên bản, có nguyên nhân gốc rễ trong thời hạn) chứ không cam kết “không bao giờ có lỗi”. Phần hỗ trợ thiệt hại nên định mức tối đa theo giá trị lô hàng và loại trừ rõ các yếu tố ngoài tầm kiểm soát (phôi mộc của khách, ánh sáng, tay nghề công nhân).</w:t>
      </w:r>
    </w:p>
    <w:p>
      <w:pPr>
        <w:pStyle w:val="Heading1"/>
      </w:pPr>
      <w:r>
        <w:rPr>
          <w:rFonts w:ascii="Arial" w:hAnsi="Arial"/>
          <w:color w:val="1F3A5F"/>
        </w:rPr>
        <w:t>5. Lộ trình 4 giai đoạn</w:t>
      </w:r>
    </w:p>
    <w:p>
      <w:r>
        <w:drawing>
          <wp:inline xmlns:a="http://schemas.openxmlformats.org/drawingml/2006/main" xmlns:pic="http://schemas.openxmlformats.org/drawingml/2006/picture">
            <wp:extent cx="6035040" cy="2414016"/>
            <wp:docPr id="1" name="Picture 1"/>
            <wp:cNvGraphicFramePr>
              <a:graphicFrameLocks noChangeAspect="1"/>
            </wp:cNvGraphicFramePr>
            <a:graphic>
              <a:graphicData uri="http://schemas.openxmlformats.org/drawingml/2006/picture">
                <pic:pic>
                  <pic:nvPicPr>
                    <pic:cNvPr id="0" name="so-do-lo-trinh-4-giai-doan.png"/>
                    <pic:cNvPicPr/>
                  </pic:nvPicPr>
                  <pic:blipFill>
                    <a:blip r:embed="rId9"/>
                    <a:stretch>
                      <a:fillRect/>
                    </a:stretch>
                  </pic:blipFill>
                  <pic:spPr>
                    <a:xfrm>
                      <a:off x="0" y="0"/>
                      <a:ext cx="6035040" cy="2414016"/>
                    </a:xfrm>
                    <a:prstGeom prst="rect"/>
                  </pic:spPr>
                </pic:pic>
              </a:graphicData>
            </a:graphic>
          </wp:inline>
        </w:drawing>
      </w:r>
    </w:p>
    <w:p>
      <w:r>
        <w:rPr>
          <w:rFonts w:ascii="Arial" w:hAnsi="Arial"/>
          <w:b w:val="0"/>
          <w:i w:val="0"/>
          <w:sz w:val="21"/>
        </w:rPr>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2017"/>
          </w:tcPr>
          <w:p>
            <w:r>
              <w:rPr>
                <w:rFonts w:ascii="Arial" w:hAnsi="Arial"/>
                <w:b/>
                <w:sz w:val="17"/>
              </w:rPr>
              <w:t>Giai đoạn</w:t>
            </w:r>
          </w:p>
        </w:tc>
        <w:tc>
          <w:tcPr>
            <w:tcW w:type="dxa" w:w="2017"/>
          </w:tcPr>
          <w:p>
            <w:r>
              <w:rPr>
                <w:rFonts w:ascii="Arial" w:hAnsi="Arial"/>
                <w:b/>
                <w:sz w:val="17"/>
              </w:rPr>
              <w:t>Thời gian</w:t>
            </w:r>
          </w:p>
        </w:tc>
        <w:tc>
          <w:tcPr>
            <w:tcW w:type="dxa" w:w="2017"/>
          </w:tcPr>
          <w:p>
            <w:r>
              <w:rPr>
                <w:rFonts w:ascii="Arial" w:hAnsi="Arial"/>
                <w:b/>
                <w:sz w:val="17"/>
              </w:rPr>
              <w:t>Việc chính</w:t>
            </w:r>
          </w:p>
        </w:tc>
        <w:tc>
          <w:tcPr>
            <w:tcW w:type="dxa" w:w="2017"/>
          </w:tcPr>
          <w:p>
            <w:r>
              <w:rPr>
                <w:rFonts w:ascii="Arial" w:hAnsi="Arial"/>
                <w:b/>
                <w:sz w:val="17"/>
              </w:rPr>
              <w:t>Sản phẩm đầu ra</w:t>
            </w:r>
          </w:p>
        </w:tc>
        <w:tc>
          <w:tcPr>
            <w:tcW w:type="dxa" w:w="2017"/>
          </w:tcPr>
          <w:p>
            <w:r>
              <w:rPr>
                <w:rFonts w:ascii="Arial" w:hAnsi="Arial"/>
                <w:b/>
                <w:sz w:val="17"/>
              </w:rPr>
              <w:t>Mốc kiểm</w:t>
            </w:r>
          </w:p>
        </w:tc>
      </w:tr>
      <w:tr>
        <w:tc>
          <w:tcPr>
            <w:tcW w:type="dxa" w:w="2017"/>
          </w:tcPr>
          <w:p>
            <w:r>
              <w:rPr>
                <w:rFonts w:ascii="Arial" w:hAnsi="Arial"/>
                <w:b w:val="0"/>
                <w:sz w:val="17"/>
              </w:rPr>
              <w:t>GĐ0 — Chốt gói &amp; biểu mẫu</w:t>
            </w:r>
          </w:p>
        </w:tc>
        <w:tc>
          <w:tcPr>
            <w:tcW w:type="dxa" w:w="2017"/>
          </w:tcPr>
          <w:p>
            <w:r>
              <w:rPr>
                <w:rFonts w:ascii="Arial" w:hAnsi="Arial"/>
                <w:b w:val="0"/>
                <w:sz w:val="17"/>
              </w:rPr>
              <w:t>22/09 → 05/10 (2 tuần)</w:t>
            </w:r>
          </w:p>
        </w:tc>
        <w:tc>
          <w:tcPr>
            <w:tcW w:type="dxa" w:w="2017"/>
          </w:tcPr>
          <w:p>
            <w:r>
              <w:rPr>
                <w:rFonts w:ascii="Arial" w:hAnsi="Arial"/>
                <w:b w:val="0"/>
                <w:sz w:val="17"/>
              </w:rPr>
              <w:t>Chốt danh mục 4 gói, phạm vi, loại trừ; chuẩn hoá 4 biểu mẫu; chọn 5 khách thí điểm; làm hồ sơ năng lực 1 trang</w:t>
            </w:r>
          </w:p>
        </w:tc>
        <w:tc>
          <w:tcPr>
            <w:tcW w:type="dxa" w:w="2017"/>
          </w:tcPr>
          <w:p>
            <w:r>
              <w:rPr>
                <w:rFonts w:ascii="Arial" w:hAnsi="Arial"/>
                <w:b w:val="0"/>
                <w:sz w:val="17"/>
              </w:rPr>
              <w:t>Bộ tài liệu gói dịch vụ; 4 biểu mẫu; hồ sơ năng lực</w:t>
            </w:r>
          </w:p>
        </w:tc>
        <w:tc>
          <w:tcPr>
            <w:tcW w:type="dxa" w:w="2017"/>
          </w:tcPr>
          <w:p>
            <w:r>
              <w:rPr>
                <w:rFonts w:ascii="Arial" w:hAnsi="Arial"/>
                <w:b w:val="0"/>
                <w:sz w:val="17"/>
              </w:rPr>
              <w:t>05/10: duyệt danh mục gói</w:t>
            </w:r>
          </w:p>
        </w:tc>
      </w:tr>
      <w:tr>
        <w:tc>
          <w:tcPr>
            <w:tcW w:type="dxa" w:w="2017"/>
          </w:tcPr>
          <w:p>
            <w:r>
              <w:rPr>
                <w:rFonts w:ascii="Arial" w:hAnsi="Arial"/>
                <w:b w:val="0"/>
                <w:sz w:val="17"/>
              </w:rPr>
              <w:t>GĐ1 — Thí điểm 5 khách</w:t>
            </w:r>
          </w:p>
        </w:tc>
        <w:tc>
          <w:tcPr>
            <w:tcW w:type="dxa" w:w="2017"/>
          </w:tcPr>
          <w:p>
            <w:r>
              <w:rPr>
                <w:rFonts w:ascii="Arial" w:hAnsi="Arial"/>
                <w:b w:val="0"/>
                <w:sz w:val="17"/>
              </w:rPr>
              <w:t>06/10 → 02/11 (4 tuần)</w:t>
            </w:r>
          </w:p>
        </w:tc>
        <w:tc>
          <w:tcPr>
            <w:tcW w:type="dxa" w:w="2017"/>
          </w:tcPr>
          <w:p>
            <w:r>
              <w:rPr>
                <w:rFonts w:ascii="Arial" w:hAnsi="Arial"/>
                <w:b w:val="0"/>
                <w:sz w:val="17"/>
              </w:rPr>
              <w:t>Chạy thật tại Hạnh Phúc, Minh Phát, Hố Nai, Thành Thắng, Mekong; bật đo lường; họp tuần với phái viên phụ trách</w:t>
            </w:r>
          </w:p>
        </w:tc>
        <w:tc>
          <w:tcPr>
            <w:tcW w:type="dxa" w:w="2017"/>
          </w:tcPr>
          <w:p>
            <w:r>
              <w:rPr>
                <w:rFonts w:ascii="Arial" w:hAnsi="Arial"/>
                <w:b w:val="0"/>
                <w:sz w:val="17"/>
              </w:rPr>
              <w:t>Báo cáo so sánh T9 với T10 (số vụ mới, lỗi chặn được, thời gian phản ứng)</w:t>
            </w:r>
          </w:p>
        </w:tc>
        <w:tc>
          <w:tcPr>
            <w:tcW w:type="dxa" w:w="2017"/>
          </w:tcPr>
          <w:p>
            <w:r>
              <w:rPr>
                <w:rFonts w:ascii="Arial" w:hAnsi="Arial"/>
                <w:b w:val="0"/>
                <w:sz w:val="17"/>
              </w:rPr>
              <w:t>02/11: báo cáo kết quả thí điểm</w:t>
            </w:r>
          </w:p>
        </w:tc>
      </w:tr>
      <w:tr>
        <w:tc>
          <w:tcPr>
            <w:tcW w:type="dxa" w:w="2017"/>
          </w:tcPr>
          <w:p>
            <w:r>
              <w:rPr>
                <w:rFonts w:ascii="Arial" w:hAnsi="Arial"/>
                <w:b w:val="0"/>
                <w:sz w:val="17"/>
              </w:rPr>
              <w:t>GĐ2 — Chốt giá &amp; hợp đồng</w:t>
            </w:r>
          </w:p>
        </w:tc>
        <w:tc>
          <w:tcPr>
            <w:tcW w:type="dxa" w:w="2017"/>
          </w:tcPr>
          <w:p>
            <w:r>
              <w:rPr>
                <w:rFonts w:ascii="Arial" w:hAnsi="Arial"/>
                <w:b w:val="0"/>
                <w:sz w:val="17"/>
              </w:rPr>
              <w:t>03/11 → 30/11 (4 tuần)</w:t>
            </w:r>
          </w:p>
        </w:tc>
        <w:tc>
          <w:tcPr>
            <w:tcW w:type="dxa" w:w="2017"/>
          </w:tcPr>
          <w:p>
            <w:r>
              <w:rPr>
                <w:rFonts w:ascii="Arial" w:hAnsi="Arial"/>
                <w:b w:val="0"/>
                <w:sz w:val="17"/>
              </w:rPr>
              <w:t>Chốt giá bằng số thật; soạn hợp đồng mẫu; đào tạo toàn bộ phái viên kỹ thuật theo chuẩn gói; công bố nội bộ</w:t>
            </w:r>
          </w:p>
        </w:tc>
        <w:tc>
          <w:tcPr>
            <w:tcW w:type="dxa" w:w="2017"/>
          </w:tcPr>
          <w:p>
            <w:r>
              <w:rPr>
                <w:rFonts w:ascii="Arial" w:hAnsi="Arial"/>
                <w:b w:val="0"/>
                <w:sz w:val="17"/>
              </w:rPr>
              <w:t>Biểu giá; hợp đồng mẫu; biên bản đào tạo</w:t>
            </w:r>
          </w:p>
        </w:tc>
        <w:tc>
          <w:tcPr>
            <w:tcW w:type="dxa" w:w="2017"/>
          </w:tcPr>
          <w:p>
            <w:r>
              <w:rPr>
                <w:rFonts w:ascii="Arial" w:hAnsi="Arial"/>
                <w:b w:val="0"/>
                <w:sz w:val="17"/>
              </w:rPr>
              <w:t>30/11: ký hợp đồng mẫu đầu tiên</w:t>
            </w:r>
          </w:p>
        </w:tc>
      </w:tr>
      <w:tr>
        <w:tc>
          <w:tcPr>
            <w:tcW w:type="dxa" w:w="2017"/>
          </w:tcPr>
          <w:p>
            <w:r>
              <w:rPr>
                <w:rFonts w:ascii="Arial" w:hAnsi="Arial"/>
                <w:b w:val="0"/>
                <w:sz w:val="17"/>
              </w:rPr>
              <w:t>GĐ3 — Mở rộng &amp; tổng kết</w:t>
            </w:r>
          </w:p>
        </w:tc>
        <w:tc>
          <w:tcPr>
            <w:tcW w:type="dxa" w:w="2017"/>
          </w:tcPr>
          <w:p>
            <w:r>
              <w:rPr>
                <w:rFonts w:ascii="Arial" w:hAnsi="Arial"/>
                <w:b w:val="0"/>
                <w:sz w:val="17"/>
              </w:rPr>
              <w:t>01/12 → 31/12 (5 tuần)</w:t>
            </w:r>
          </w:p>
        </w:tc>
        <w:tc>
          <w:tcPr>
            <w:tcW w:type="dxa" w:w="2017"/>
          </w:tcPr>
          <w:p>
            <w:r>
              <w:rPr>
                <w:rFonts w:ascii="Arial" w:hAnsi="Arial"/>
                <w:b w:val="0"/>
                <w:sz w:val="17"/>
              </w:rPr>
              <w:t>Mở rộng đến top 30 khách; bán kèm gói 4; tổng kết quý; đề xuất kế hoạch 2027</w:t>
            </w:r>
          </w:p>
        </w:tc>
        <w:tc>
          <w:tcPr>
            <w:tcW w:type="dxa" w:w="2017"/>
          </w:tcPr>
          <w:p>
            <w:r>
              <w:rPr>
                <w:rFonts w:ascii="Arial" w:hAnsi="Arial"/>
                <w:b w:val="0"/>
                <w:sz w:val="17"/>
              </w:rPr>
              <w:t>Danh sách khách theo gói; báo cáo tổng kết quý</w:t>
            </w:r>
          </w:p>
        </w:tc>
        <w:tc>
          <w:tcPr>
            <w:tcW w:type="dxa" w:w="2017"/>
          </w:tcPr>
          <w:p>
            <w:r>
              <w:rPr>
                <w:rFonts w:ascii="Arial" w:hAnsi="Arial"/>
                <w:b w:val="0"/>
                <w:sz w:val="17"/>
              </w:rPr>
              <w:t>31/12: tổng kết + quyết định 2027</w:t>
            </w:r>
          </w:p>
        </w:tc>
      </w:tr>
    </w:tbl>
    <w:p>
      <w:pPr>
        <w:pStyle w:val="Heading1"/>
      </w:pPr>
      <w:r>
        <w:rPr>
          <w:rFonts w:ascii="Arial" w:hAnsi="Arial"/>
          <w:color w:val="1F3A5F"/>
        </w:rPr>
        <w:t>6. Đo lường — dùng dữ liệu đang có, không làm thêm sổ sách</w:t>
      </w:r>
    </w:p>
    <w:tbl>
      <w:tblPr>
        <w:tblStyle w:val="TableGrid"/>
        <w:tblW w:type="auto" w:w="0"/>
        <w:jc w:val="center"/>
        <w:tblLook w:firstColumn="1" w:firstRow="1" w:lastColumn="0" w:lastRow="0" w:noHBand="0" w:noVBand="1" w:val="04A0"/>
      </w:tblPr>
      <w:tblGrid>
        <w:gridCol w:w="3362"/>
        <w:gridCol w:w="3362"/>
        <w:gridCol w:w="3362"/>
      </w:tblGrid>
      <w:tr>
        <w:tc>
          <w:tcPr>
            <w:tcW w:type="dxa" w:w="3362"/>
          </w:tcPr>
          <w:p>
            <w:r>
              <w:rPr>
                <w:rFonts w:ascii="Arial" w:hAnsi="Arial"/>
                <w:b/>
                <w:sz w:val="17"/>
              </w:rPr>
              <w:t>Chỉ số</w:t>
            </w:r>
          </w:p>
        </w:tc>
        <w:tc>
          <w:tcPr>
            <w:tcW w:type="dxa" w:w="3362"/>
          </w:tcPr>
          <w:p>
            <w:r>
              <w:rPr>
                <w:rFonts w:ascii="Arial" w:hAnsi="Arial"/>
                <w:b/>
                <w:sz w:val="17"/>
              </w:rPr>
              <w:t>Cách đo</w:t>
            </w:r>
          </w:p>
        </w:tc>
        <w:tc>
          <w:tcPr>
            <w:tcW w:type="dxa" w:w="3362"/>
          </w:tcPr>
          <w:p>
            <w:r>
              <w:rPr>
                <w:rFonts w:ascii="Arial" w:hAnsi="Arial"/>
                <w:b/>
                <w:sz w:val="17"/>
              </w:rPr>
              <w:t>Mục tiêu 31/12/2026</w:t>
            </w:r>
          </w:p>
        </w:tc>
      </w:tr>
      <w:tr>
        <w:tc>
          <w:tcPr>
            <w:tcW w:type="dxa" w:w="3362"/>
          </w:tcPr>
          <w:p>
            <w:r>
              <w:rPr>
                <w:rFonts w:ascii="Arial" w:hAnsi="Arial"/>
                <w:b w:val="0"/>
                <w:sz w:val="17"/>
              </w:rPr>
              <w:t>Số chuyền được túc trực</w:t>
            </w:r>
          </w:p>
        </w:tc>
        <w:tc>
          <w:tcPr>
            <w:tcW w:type="dxa" w:w="3362"/>
          </w:tcPr>
          <w:p>
            <w:r>
              <w:rPr>
                <w:rFonts w:ascii="Arial" w:hAnsi="Arial"/>
                <w:b w:val="0"/>
                <w:sz w:val="17"/>
              </w:rPr>
              <w:t>Đếm biên bản chặn lỗi theo tuần</w:t>
            </w:r>
          </w:p>
        </w:tc>
        <w:tc>
          <w:tcPr>
            <w:tcW w:type="dxa" w:w="3362"/>
          </w:tcPr>
          <w:p>
            <w:r>
              <w:rPr>
                <w:rFonts w:ascii="Arial" w:hAnsi="Arial"/>
                <w:b w:val="0"/>
                <w:sz w:val="17"/>
              </w:rPr>
              <w:t>100% chuyền của khách đã mua gói</w:t>
            </w:r>
          </w:p>
        </w:tc>
      </w:tr>
      <w:tr>
        <w:tc>
          <w:tcPr>
            <w:tcW w:type="dxa" w:w="3362"/>
          </w:tcPr>
          <w:p>
            <w:r>
              <w:rPr>
                <w:rFonts w:ascii="Arial" w:hAnsi="Arial"/>
                <w:b w:val="0"/>
                <w:sz w:val="17"/>
              </w:rPr>
              <w:t>Lỗi chặn được ở bước 1</w:t>
            </w:r>
          </w:p>
        </w:tc>
        <w:tc>
          <w:tcPr>
            <w:tcW w:type="dxa" w:w="3362"/>
          </w:tcPr>
          <w:p>
            <w:r>
              <w:rPr>
                <w:rFonts w:ascii="Arial" w:hAnsi="Arial"/>
                <w:b w:val="0"/>
                <w:sz w:val="17"/>
              </w:rPr>
              <w:t>Đếm biên bản yêu cầu dừng/đổi phôi</w:t>
            </w:r>
          </w:p>
        </w:tc>
        <w:tc>
          <w:tcPr>
            <w:tcW w:type="dxa" w:w="3362"/>
          </w:tcPr>
          <w:p>
            <w:r>
              <w:rPr>
                <w:rFonts w:ascii="Arial" w:hAnsi="Arial"/>
                <w:b w:val="0"/>
                <w:sz w:val="17"/>
              </w:rPr>
              <w:t>Tăng dần theo tháng, có bằng chứng ảnh</w:t>
            </w:r>
          </w:p>
        </w:tc>
      </w:tr>
      <w:tr>
        <w:tc>
          <w:tcPr>
            <w:tcW w:type="dxa" w:w="3362"/>
          </w:tcPr>
          <w:p>
            <w:r>
              <w:rPr>
                <w:rFonts w:ascii="Arial" w:hAnsi="Arial"/>
                <w:b w:val="0"/>
                <w:sz w:val="17"/>
              </w:rPr>
              <w:t>Thời gian phản ứng</w:t>
            </w:r>
          </w:p>
        </w:tc>
        <w:tc>
          <w:tcPr>
            <w:tcW w:type="dxa" w:w="3362"/>
          </w:tcPr>
          <w:p>
            <w:r>
              <w:rPr>
                <w:rFonts w:ascii="Arial" w:hAnsi="Arial"/>
                <w:b w:val="0"/>
                <w:sz w:val="17"/>
              </w:rPr>
              <w:t>Giờ báo → giờ có mặt (ghi trong hồ sơ xử lý)</w:t>
            </w:r>
          </w:p>
        </w:tc>
        <w:tc>
          <w:tcPr>
            <w:tcW w:type="dxa" w:w="3362"/>
          </w:tcPr>
          <w:p>
            <w:r>
              <w:rPr>
                <w:rFonts w:ascii="Arial" w:hAnsi="Arial"/>
                <w:b w:val="0"/>
                <w:sz w:val="17"/>
              </w:rPr>
              <w:t>Trung bình ≤ 2 giờ</w:t>
            </w:r>
          </w:p>
        </w:tc>
      </w:tr>
      <w:tr>
        <w:tc>
          <w:tcPr>
            <w:tcW w:type="dxa" w:w="3362"/>
          </w:tcPr>
          <w:p>
            <w:r>
              <w:rPr>
                <w:rFonts w:ascii="Arial" w:hAnsi="Arial"/>
                <w:b w:val="0"/>
                <w:sz w:val="17"/>
              </w:rPr>
              <w:t>Số vụ khiếu nại mới / tháng</w:t>
            </w:r>
          </w:p>
        </w:tc>
        <w:tc>
          <w:tcPr>
            <w:tcW w:type="dxa" w:w="3362"/>
          </w:tcPr>
          <w:p>
            <w:r>
              <w:rPr>
                <w:rFonts w:ascii="Arial" w:hAnsi="Arial"/>
                <w:b w:val="0"/>
                <w:sz w:val="17"/>
              </w:rPr>
              <w:t>Đếm hồ sơ mới trong btchem_kph.db theo khách</w:t>
            </w:r>
          </w:p>
        </w:tc>
        <w:tc>
          <w:tcPr>
            <w:tcW w:type="dxa" w:w="3362"/>
          </w:tcPr>
          <w:p>
            <w:r>
              <w:rPr>
                <w:rFonts w:ascii="Arial" w:hAnsi="Arial"/>
                <w:b w:val="0"/>
                <w:sz w:val="17"/>
              </w:rPr>
              <w:t>Giảm so với cùng khách cùng kỳ</w:t>
            </w:r>
          </w:p>
        </w:tc>
      </w:tr>
      <w:tr>
        <w:tc>
          <w:tcPr>
            <w:tcW w:type="dxa" w:w="3362"/>
          </w:tcPr>
          <w:p>
            <w:r>
              <w:rPr>
                <w:rFonts w:ascii="Arial" w:hAnsi="Arial"/>
                <w:b w:val="0"/>
                <w:sz w:val="17"/>
              </w:rPr>
              <w:t>Tỷ lệ tái phát</w:t>
            </w:r>
          </w:p>
        </w:tc>
        <w:tc>
          <w:tcPr>
            <w:tcW w:type="dxa" w:w="3362"/>
          </w:tcPr>
          <w:p>
            <w:r>
              <w:rPr>
                <w:rFonts w:ascii="Arial" w:hAnsi="Arial"/>
                <w:b w:val="0"/>
                <w:sz w:val="17"/>
              </w:rPr>
              <w:t>Cùng khách + cùng hiện tượng trong 90 ngày</w:t>
            </w:r>
          </w:p>
        </w:tc>
        <w:tc>
          <w:tcPr>
            <w:tcW w:type="dxa" w:w="3362"/>
          </w:tcPr>
          <w:p>
            <w:r>
              <w:rPr>
                <w:rFonts w:ascii="Arial" w:hAnsi="Arial"/>
                <w:b w:val="0"/>
                <w:sz w:val="17"/>
              </w:rPr>
              <w:t>Giảm 50% so với quý trước</w:t>
            </w:r>
          </w:p>
        </w:tc>
      </w:tr>
      <w:tr>
        <w:tc>
          <w:tcPr>
            <w:tcW w:type="dxa" w:w="3362"/>
          </w:tcPr>
          <w:p>
            <w:r>
              <w:rPr>
                <w:rFonts w:ascii="Arial" w:hAnsi="Arial"/>
                <w:b w:val="0"/>
                <w:sz w:val="17"/>
              </w:rPr>
              <w:t>Tiến độ mẫu nhân</w:t>
            </w:r>
          </w:p>
        </w:tc>
        <w:tc>
          <w:tcPr>
            <w:tcW w:type="dxa" w:w="3362"/>
          </w:tcPr>
          <w:p>
            <w:r>
              <w:rPr>
                <w:rFonts w:ascii="Arial" w:hAnsi="Arial"/>
                <w:b w:val="0"/>
                <w:sz w:val="17"/>
              </w:rPr>
              <w:t>Ngày nhận → ngày giao mẫu</w:t>
            </w:r>
          </w:p>
        </w:tc>
        <w:tc>
          <w:tcPr>
            <w:tcW w:type="dxa" w:w="3362"/>
          </w:tcPr>
          <w:p>
            <w:r>
              <w:rPr>
                <w:rFonts w:ascii="Arial" w:hAnsi="Arial"/>
                <w:b w:val="0"/>
                <w:sz w:val="17"/>
              </w:rPr>
              <w:t>≤ 7 ngày/bộ</w:t>
            </w:r>
          </w:p>
        </w:tc>
      </w:tr>
      <w:tr>
        <w:tc>
          <w:tcPr>
            <w:tcW w:type="dxa" w:w="3362"/>
          </w:tcPr>
          <w:p>
            <w:r>
              <w:rPr>
                <w:rFonts w:ascii="Arial" w:hAnsi="Arial"/>
                <w:b w:val="0"/>
                <w:sz w:val="17"/>
              </w:rPr>
              <w:t>Thiệt hại tránh được</w:t>
            </w:r>
          </w:p>
        </w:tc>
        <w:tc>
          <w:tcPr>
            <w:tcW w:type="dxa" w:w="3362"/>
          </w:tcPr>
          <w:p>
            <w:r>
              <w:rPr>
                <w:rFonts w:ascii="Arial" w:hAnsi="Arial"/>
                <w:b w:val="0"/>
                <w:sz w:val="17"/>
              </w:rPr>
              <w:t>Số sản phẩm chặn kịp × chi phí xử lý lại</w:t>
            </w:r>
          </w:p>
        </w:tc>
        <w:tc>
          <w:tcPr>
            <w:tcW w:type="dxa" w:w="3362"/>
          </w:tcPr>
          <w:p>
            <w:r>
              <w:rPr>
                <w:rFonts w:ascii="Arial" w:hAnsi="Arial"/>
                <w:b w:val="0"/>
                <w:sz w:val="17"/>
              </w:rPr>
              <w:t>Báo cáo theo vụ, có ảnh và số lượng</w:t>
            </w:r>
          </w:p>
        </w:tc>
      </w:tr>
      <w:tr>
        <w:tc>
          <w:tcPr>
            <w:tcW w:type="dxa" w:w="3362"/>
          </w:tcPr>
          <w:p>
            <w:r>
              <w:rPr>
                <w:rFonts w:ascii="Arial" w:hAnsi="Arial"/>
                <w:b w:val="0"/>
                <w:sz w:val="17"/>
              </w:rPr>
              <w:t>Doanh thu dịch vụ</w:t>
            </w:r>
          </w:p>
        </w:tc>
        <w:tc>
          <w:tcPr>
            <w:tcW w:type="dxa" w:w="3362"/>
          </w:tcPr>
          <w:p>
            <w:r>
              <w:rPr>
                <w:rFonts w:ascii="Arial" w:hAnsi="Arial"/>
                <w:b w:val="0"/>
                <w:sz w:val="17"/>
              </w:rPr>
              <w:t>Tổng thu theo gói trong quý</w:t>
            </w:r>
          </w:p>
        </w:tc>
        <w:tc>
          <w:tcPr>
            <w:tcW w:type="dxa" w:w="3362"/>
          </w:tcPr>
          <w:p>
            <w:r>
              <w:rPr>
                <w:rFonts w:ascii="Arial" w:hAnsi="Arial"/>
                <w:b w:val="0"/>
                <w:sz w:val="17"/>
              </w:rPr>
              <w:t>Có doanh thu thật, không còn đi kèm miễn phí</w:t>
            </w:r>
          </w:p>
        </w:tc>
      </w:tr>
    </w:tbl>
    <w:p>
      <w:pPr>
        <w:pStyle w:val="Heading1"/>
      </w:pPr>
      <w:r>
        <w:rPr>
          <w:rFonts w:ascii="Arial" w:hAnsi="Arial"/>
          <w:color w:val="1F3A5F"/>
        </w:rPr>
        <w:t>7. Rủi ro và cách chặn</w:t>
      </w:r>
    </w:p>
    <w:tbl>
      <w:tblPr>
        <w:tblStyle w:val="TableGrid"/>
        <w:tblW w:type="auto" w:w="0"/>
        <w:jc w:val="center"/>
        <w:tblLook w:firstColumn="1" w:firstRow="1" w:lastColumn="0" w:lastRow="0" w:noHBand="0" w:noVBand="1" w:val="04A0"/>
      </w:tblPr>
      <w:tblGrid>
        <w:gridCol w:w="5043"/>
        <w:gridCol w:w="5043"/>
      </w:tblGrid>
      <w:tr>
        <w:tc>
          <w:tcPr>
            <w:tcW w:type="dxa" w:w="5043"/>
          </w:tcPr>
          <w:p>
            <w:r>
              <w:rPr>
                <w:rFonts w:ascii="Arial" w:hAnsi="Arial"/>
                <w:b/>
                <w:sz w:val="18"/>
              </w:rPr>
              <w:t>Rủi ro</w:t>
            </w:r>
          </w:p>
        </w:tc>
        <w:tc>
          <w:tcPr>
            <w:tcW w:type="dxa" w:w="5043"/>
          </w:tcPr>
          <w:p>
            <w:r>
              <w:rPr>
                <w:rFonts w:ascii="Arial" w:hAnsi="Arial"/>
                <w:b/>
                <w:sz w:val="18"/>
              </w:rPr>
              <w:t>Cách chặn</w:t>
            </w:r>
          </w:p>
        </w:tc>
      </w:tr>
      <w:tr>
        <w:tc>
          <w:tcPr>
            <w:tcW w:type="dxa" w:w="5043"/>
          </w:tcPr>
          <w:p>
            <w:r>
              <w:rPr>
                <w:rFonts w:ascii="Arial" w:hAnsi="Arial"/>
                <w:b w:val="0"/>
                <w:sz w:val="18"/>
              </w:rPr>
              <w:t>Cam kết quá mạnh, khách đòi bồi thường lớn</w:t>
            </w:r>
          </w:p>
        </w:tc>
        <w:tc>
          <w:tcPr>
            <w:tcW w:type="dxa" w:w="5043"/>
          </w:tcPr>
          <w:p>
            <w:r>
              <w:rPr>
                <w:rFonts w:ascii="Arial" w:hAnsi="Arial"/>
                <w:b w:val="0"/>
                <w:sz w:val="18"/>
              </w:rPr>
              <w:t>Cam kết theo hành vi và thời hạn; định mức hỗ trợ tối đa; loại trừ rõ yếu tố ngoài tầm kiểm soát</w:t>
            </w:r>
          </w:p>
        </w:tc>
      </w:tr>
      <w:tr>
        <w:tc>
          <w:tcPr>
            <w:tcW w:type="dxa" w:w="5043"/>
          </w:tcPr>
          <w:p>
            <w:r>
              <w:rPr>
                <w:rFonts w:ascii="Arial" w:hAnsi="Arial"/>
                <w:b w:val="0"/>
                <w:sz w:val="18"/>
              </w:rPr>
              <w:t>Khách quen được miễn phí, phản ứng khi thu tiền</w:t>
            </w:r>
          </w:p>
        </w:tc>
        <w:tc>
          <w:tcPr>
            <w:tcW w:type="dxa" w:w="5043"/>
          </w:tcPr>
          <w:p>
            <w:r>
              <w:rPr>
                <w:rFonts w:ascii="Arial" w:hAnsi="Arial"/>
                <w:b w:val="0"/>
                <w:sz w:val="18"/>
              </w:rPr>
              <w:t>Đi từ 5 khách thí điểm, lấy số thật (số vụ giảm) để nói chuyện; khách cũ giữ gói kiểm soát chuyền ở mức thấp trước</w:t>
            </w:r>
          </w:p>
        </w:tc>
      </w:tr>
      <w:tr>
        <w:tc>
          <w:tcPr>
            <w:tcW w:type="dxa" w:w="5043"/>
          </w:tcPr>
          <w:p>
            <w:r>
              <w:rPr>
                <w:rFonts w:ascii="Arial" w:hAnsi="Arial"/>
                <w:b w:val="0"/>
                <w:sz w:val="18"/>
              </w:rPr>
              <w:t>Thiếu người làm gói mới</w:t>
            </w:r>
          </w:p>
        </w:tc>
        <w:tc>
          <w:tcPr>
            <w:tcW w:type="dxa" w:w="5043"/>
          </w:tcPr>
          <w:p>
            <w:r>
              <w:rPr>
                <w:rFonts w:ascii="Arial" w:hAnsi="Arial"/>
                <w:b w:val="0"/>
                <w:sz w:val="18"/>
              </w:rPr>
              <w:t>Gói 1 và 3 chạy bằng phái viên hiện có; tuyển thêm theo số chuyền đã bán; gói 4 bán theo buổi</w:t>
            </w:r>
          </w:p>
        </w:tc>
      </w:tr>
      <w:tr>
        <w:tc>
          <w:tcPr>
            <w:tcW w:type="dxa" w:w="5043"/>
          </w:tcPr>
          <w:p>
            <w:r>
              <w:rPr>
                <w:rFonts w:ascii="Arial" w:hAnsi="Arial"/>
                <w:b w:val="0"/>
                <w:sz w:val="18"/>
              </w:rPr>
              <w:t>Số liệu không đủ tin khi đối chiếu với khách</w:t>
            </w:r>
          </w:p>
        </w:tc>
        <w:tc>
          <w:tcPr>
            <w:tcW w:type="dxa" w:w="5043"/>
          </w:tcPr>
          <w:p>
            <w:r>
              <w:rPr>
                <w:rFonts w:ascii="Arial" w:hAnsi="Arial"/>
                <w:b w:val="0"/>
                <w:sz w:val="18"/>
              </w:rPr>
              <w:t>Mọi kết luận phải có biên bản + ảnh + số lượng; cập nhật vào cổng thông tin khiếu nại</w:t>
            </w:r>
          </w:p>
        </w:tc>
      </w:tr>
      <w:tr>
        <w:tc>
          <w:tcPr>
            <w:tcW w:type="dxa" w:w="5043"/>
          </w:tcPr>
          <w:p>
            <w:r>
              <w:rPr>
                <w:rFonts w:ascii="Arial" w:hAnsi="Arial"/>
                <w:b w:val="0"/>
                <w:sz w:val="18"/>
              </w:rPr>
              <w:t>Kỹ thuật viên ngại bị soi, sợ nhận lỗi</w:t>
            </w:r>
          </w:p>
        </w:tc>
        <w:tc>
          <w:tcPr>
            <w:tcW w:type="dxa" w:w="5043"/>
          </w:tcPr>
          <w:p>
            <w:r>
              <w:rPr>
                <w:rFonts w:ascii="Arial" w:hAnsi="Arial"/>
                <w:b w:val="0"/>
                <w:sz w:val="18"/>
              </w:rPr>
              <w:t>Đổi cách đánh giá: chặn được lỗi là thành tích, không phải lỗi; tuyên dương theo số lỗi chặn được</w:t>
            </w:r>
          </w:p>
        </w:tc>
      </w:tr>
      <w:tr>
        <w:tc>
          <w:tcPr>
            <w:tcW w:type="dxa" w:w="5043"/>
          </w:tcPr>
          <w:p>
            <w:r>
              <w:rPr>
                <w:rFonts w:ascii="Arial" w:hAnsi="Arial"/>
                <w:b w:val="0"/>
                <w:sz w:val="18"/>
              </w:rPr>
              <w:t>Mẫu nhân bị nợ lại gây ách tắc đơn hàng</w:t>
            </w:r>
          </w:p>
        </w:tc>
        <w:tc>
          <w:tcPr>
            <w:tcW w:type="dxa" w:w="5043"/>
          </w:tcPr>
          <w:p>
            <w:r>
              <w:rPr>
                <w:rFonts w:ascii="Arial" w:hAnsi="Arial"/>
                <w:b w:val="0"/>
                <w:sz w:val="18"/>
              </w:rPr>
              <w:t>Cam kết 7 ngày/bộ, báo trước 48 giờ nếu chậm; theo dõi trên bảng mẫu hằng tuần</w:t>
            </w:r>
          </w:p>
        </w:tc>
      </w:tr>
    </w:tbl>
    <w:p>
      <w:pPr>
        <w:pStyle w:val="Heading1"/>
      </w:pPr>
      <w:r>
        <w:rPr>
          <w:rFonts w:ascii="Arial" w:hAnsi="Arial"/>
          <w:color w:val="1F3A5F"/>
        </w:rPr>
        <w:t>8. Việc cần Ban Giám đốc quyết ngay</w:t>
      </w:r>
    </w:p>
    <w:tbl>
      <w:tblPr>
        <w:tblStyle w:val="TableGrid"/>
        <w:tblW w:type="auto" w:w="0"/>
        <w:jc w:val="center"/>
        <w:tblLook w:firstColumn="1" w:firstRow="1" w:lastColumn="0" w:lastRow="0" w:noHBand="0" w:noVBand="1" w:val="04A0"/>
      </w:tblPr>
      <w:tblGrid>
        <w:gridCol w:w="3362"/>
        <w:gridCol w:w="3362"/>
        <w:gridCol w:w="3362"/>
      </w:tblGrid>
      <w:tr>
        <w:tc>
          <w:tcPr>
            <w:tcW w:type="dxa" w:w="3362"/>
          </w:tcPr>
          <w:p>
            <w:r>
              <w:rPr>
                <w:rFonts w:ascii="Arial" w:hAnsi="Arial"/>
                <w:b/>
                <w:sz w:val="18"/>
              </w:rPr>
              <w:t>#</w:t>
            </w:r>
          </w:p>
        </w:tc>
        <w:tc>
          <w:tcPr>
            <w:tcW w:type="dxa" w:w="3362"/>
          </w:tcPr>
          <w:p>
            <w:r>
              <w:rPr>
                <w:rFonts w:ascii="Arial" w:hAnsi="Arial"/>
                <w:b/>
                <w:sz w:val="18"/>
              </w:rPr>
              <w:t>Quyết định</w:t>
            </w:r>
          </w:p>
        </w:tc>
        <w:tc>
          <w:tcPr>
            <w:tcW w:type="dxa" w:w="3362"/>
          </w:tcPr>
          <w:p>
            <w:r>
              <w:rPr>
                <w:rFonts w:ascii="Arial" w:hAnsi="Arial"/>
                <w:b/>
                <w:sz w:val="18"/>
              </w:rPr>
              <w:t>Đề xuất của người lập</w:t>
            </w:r>
          </w:p>
        </w:tc>
      </w:tr>
      <w:tr>
        <w:tc>
          <w:tcPr>
            <w:tcW w:type="dxa" w:w="3362"/>
          </w:tcPr>
          <w:p>
            <w:r>
              <w:rPr>
                <w:rFonts w:ascii="Arial" w:hAnsi="Arial"/>
                <w:b w:val="0"/>
                <w:sz w:val="18"/>
              </w:rPr>
              <w:t>1</w:t>
            </w:r>
          </w:p>
        </w:tc>
        <w:tc>
          <w:tcPr>
            <w:tcW w:type="dxa" w:w="3362"/>
          </w:tcPr>
          <w:p>
            <w:r>
              <w:rPr>
                <w:rFonts w:ascii="Arial" w:hAnsi="Arial"/>
                <w:b w:val="0"/>
                <w:sz w:val="18"/>
              </w:rPr>
              <w:t>Chọn 5 khách thí điểm</w:t>
            </w:r>
          </w:p>
        </w:tc>
        <w:tc>
          <w:tcPr>
            <w:tcW w:type="dxa" w:w="3362"/>
          </w:tcPr>
          <w:p>
            <w:r>
              <w:rPr>
                <w:rFonts w:ascii="Arial" w:hAnsi="Arial"/>
                <w:b w:val="0"/>
                <w:sz w:val="18"/>
              </w:rPr>
              <w:t>Hạnh Phúc · Minh Phát · Hố Nai · Thành Thắng · Mekong (top khách có nhiều vụ nhất)</w:t>
            </w:r>
          </w:p>
        </w:tc>
      </w:tr>
      <w:tr>
        <w:tc>
          <w:tcPr>
            <w:tcW w:type="dxa" w:w="3362"/>
          </w:tcPr>
          <w:p>
            <w:r>
              <w:rPr>
                <w:rFonts w:ascii="Arial" w:hAnsi="Arial"/>
                <w:b w:val="0"/>
                <w:sz w:val="18"/>
              </w:rPr>
              <w:t>2</w:t>
            </w:r>
          </w:p>
        </w:tc>
        <w:tc>
          <w:tcPr>
            <w:tcW w:type="dxa" w:w="3362"/>
          </w:tcPr>
          <w:p>
            <w:r>
              <w:rPr>
                <w:rFonts w:ascii="Arial" w:hAnsi="Arial"/>
                <w:b w:val="0"/>
                <w:sz w:val="18"/>
              </w:rPr>
              <w:t>Gói nào bắt buộc, gói nào tuỳ chọn</w:t>
            </w:r>
          </w:p>
        </w:tc>
        <w:tc>
          <w:tcPr>
            <w:tcW w:type="dxa" w:w="3362"/>
          </w:tcPr>
          <w:p>
            <w:r>
              <w:rPr>
                <w:rFonts w:ascii="Arial" w:hAnsi="Arial"/>
                <w:b w:val="0"/>
                <w:sz w:val="18"/>
              </w:rPr>
              <w:t>Gói 1 và 3 bán trước; gói 2 bán kèm khi khách có đơn mới; gói 4 là tuỳ chọn</w:t>
            </w:r>
          </w:p>
        </w:tc>
      </w:tr>
      <w:tr>
        <w:tc>
          <w:tcPr>
            <w:tcW w:type="dxa" w:w="3362"/>
          </w:tcPr>
          <w:p>
            <w:r>
              <w:rPr>
                <w:rFonts w:ascii="Arial" w:hAnsi="Arial"/>
                <w:b w:val="0"/>
                <w:sz w:val="18"/>
              </w:rPr>
              <w:t>3</w:t>
            </w:r>
          </w:p>
        </w:tc>
        <w:tc>
          <w:tcPr>
            <w:tcW w:type="dxa" w:w="3362"/>
          </w:tcPr>
          <w:p>
            <w:r>
              <w:rPr>
                <w:rFonts w:ascii="Arial" w:hAnsi="Arial"/>
                <w:b w:val="0"/>
                <w:sz w:val="18"/>
              </w:rPr>
              <w:t>Ai chủ trì lộ trình</w:t>
            </w:r>
          </w:p>
        </w:tc>
        <w:tc>
          <w:tcPr>
            <w:tcW w:type="dxa" w:w="3362"/>
          </w:tcPr>
          <w:p>
            <w:r>
              <w:rPr>
                <w:rFonts w:ascii="Arial" w:hAnsi="Arial"/>
                <w:b w:val="0"/>
                <w:sz w:val="18"/>
              </w:rPr>
              <w:t>Một người chủ trì cấp Trưởng bộ phận kỹ thuật, báo cáo trực tiếp Ban Giám đốc hằng tuần</w:t>
            </w:r>
          </w:p>
        </w:tc>
      </w:tr>
      <w:tr>
        <w:tc>
          <w:tcPr>
            <w:tcW w:type="dxa" w:w="3362"/>
          </w:tcPr>
          <w:p>
            <w:r>
              <w:rPr>
                <w:rFonts w:ascii="Arial" w:hAnsi="Arial"/>
                <w:b w:val="0"/>
                <w:sz w:val="18"/>
              </w:rPr>
              <w:t>4</w:t>
            </w:r>
          </w:p>
        </w:tc>
        <w:tc>
          <w:tcPr>
            <w:tcW w:type="dxa" w:w="3362"/>
          </w:tcPr>
          <w:p>
            <w:r>
              <w:rPr>
                <w:rFonts w:ascii="Arial" w:hAnsi="Arial"/>
                <w:b w:val="0"/>
                <w:sz w:val="18"/>
              </w:rPr>
              <w:t>Khung giá tạm cho giai đoạn thí điểm</w:t>
            </w:r>
          </w:p>
        </w:tc>
        <w:tc>
          <w:tcPr>
            <w:tcW w:type="dxa" w:w="3362"/>
          </w:tcPr>
          <w:p>
            <w:r>
              <w:rPr>
                <w:rFonts w:ascii="Arial" w:hAnsi="Arial"/>
                <w:b w:val="0"/>
                <w:sz w:val="18"/>
              </w:rPr>
              <w:t>Chưa thu tiền ở 5 khách thí điểm, nhưng ký biên bản ghi rõ giá niêm yết sẽ áp dụng từ 01/12</w:t>
            </w:r>
          </w:p>
        </w:tc>
      </w:tr>
      <w:tr>
        <w:tc>
          <w:tcPr>
            <w:tcW w:type="dxa" w:w="3362"/>
          </w:tcPr>
          <w:p>
            <w:r>
              <w:rPr>
                <w:rFonts w:ascii="Arial" w:hAnsi="Arial"/>
                <w:b w:val="0"/>
                <w:sz w:val="18"/>
              </w:rPr>
              <w:t>5</w:t>
            </w:r>
          </w:p>
        </w:tc>
        <w:tc>
          <w:tcPr>
            <w:tcW w:type="dxa" w:w="3362"/>
          </w:tcPr>
          <w:p>
            <w:r>
              <w:rPr>
                <w:rFonts w:ascii="Arial" w:hAnsi="Arial"/>
                <w:b w:val="0"/>
                <w:sz w:val="18"/>
              </w:rPr>
              <w:t>Mức hỗ trợ tối đa khi xảy ra thiệt hại</w:t>
            </w:r>
          </w:p>
        </w:tc>
        <w:tc>
          <w:tcPr>
            <w:tcW w:type="dxa" w:w="3362"/>
          </w:tcPr>
          <w:p>
            <w:r>
              <w:rPr>
                <w:rFonts w:ascii="Arial" w:hAnsi="Arial"/>
                <w:b w:val="0"/>
                <w:sz w:val="18"/>
              </w:rPr>
              <w:t>Định mức theo giá trị lô hàng, có loại trừ; không cam kết vô hạn</w:t>
            </w:r>
          </w:p>
        </w:tc>
      </w:tr>
    </w:tbl>
    <w:p>
      <w:r>
        <w:rPr>
          <w:rFonts w:ascii="Arial" w:hAnsi="Arial"/>
          <w:b w:val="0"/>
          <w:i w:val="0"/>
          <w:sz w:val="21"/>
        </w:rPr>
      </w:r>
    </w:p>
    <w:p>
      <w:r>
        <w:rPr>
          <w:rFonts w:ascii="Arial" w:hAnsi="Arial"/>
          <w:b w:val="0"/>
          <w:i/>
          <w:sz w:val="18"/>
        </w:rPr>
        <w:t>Ghi chú kỹ thuật: dữ liệu đối chiếu lấy trực tiếp từ btchem.db (mẫu làm, báo cáo kỹ thuật tuần, báo cáo CSKH, danh sách phái viên, vụ khiếu nại đang mở) và btchem_kph.db (hồ sơ khiếu nại, khách hàng). Số liệu chốt tại ngày 22/09/2026.</w:t>
      </w:r>
    </w:p>
    <w:sectPr w:rsidR="00FC693F" w:rsidRPr="0006063C" w:rsidSect="00034616">
      <w:pgSz w:w="12240" w:h="15840"/>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